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8A4" w:rsidRDefault="000B73E2" w:rsidP="00093C93">
      <w:pPr>
        <w:pStyle w:val="Heading1"/>
      </w:pPr>
      <w:bookmarkStart w:id="0" w:name="_Toc371064591"/>
      <w:r>
        <w:t xml:space="preserve">Distinct Agent </w:t>
      </w:r>
      <w:r w:rsidR="000B48A4">
        <w:t xml:space="preserve">Activation </w:t>
      </w:r>
      <w:r>
        <w:t xml:space="preserve">Schemes </w:t>
      </w:r>
      <w:bookmarkEnd w:id="0"/>
      <w:r>
        <w:t xml:space="preserve">and </w:t>
      </w:r>
      <w:r w:rsidR="00630997">
        <w:t>T</w:t>
      </w:r>
      <w:r>
        <w:t>heir Quantitative Effect on the Distributed Averaging Model</w:t>
      </w:r>
    </w:p>
    <w:p w:rsidR="004E7B35" w:rsidRDefault="004E7B35" w:rsidP="000B48A4">
      <w:r>
        <w:t>By Kenneth Comer, Andrew Loerch, and Robert Axtell</w:t>
      </w:r>
    </w:p>
    <w:p w:rsidR="004E7B35" w:rsidRDefault="004E7B35" w:rsidP="000B48A4"/>
    <w:p w:rsidR="00093C93" w:rsidRPr="000B73E2" w:rsidRDefault="000B73E2" w:rsidP="000B73E2">
      <w:pPr>
        <w:pStyle w:val="Heading3"/>
        <w:spacing w:before="120" w:after="0" w:line="240" w:lineRule="auto"/>
        <w:rPr>
          <w:rFonts w:ascii="Times New Roman" w:hAnsi="Times New Roman" w:cs="Times New Roman"/>
          <w:b w:val="0"/>
          <w:color w:val="auto"/>
          <w:sz w:val="22"/>
        </w:rPr>
      </w:pPr>
      <w:r w:rsidRPr="000B73E2">
        <w:rPr>
          <w:rFonts w:ascii="Times New Roman" w:hAnsi="Times New Roman" w:cs="Times New Roman"/>
          <w:b w:val="0"/>
          <w:color w:val="auto"/>
          <w:sz w:val="22"/>
        </w:rPr>
        <w:t>ABSTRACT</w:t>
      </w:r>
    </w:p>
    <w:p w:rsidR="00093C93" w:rsidRDefault="00093C93" w:rsidP="000B48A4">
      <w:r>
        <w:t>An agent-based model was constructed to extend the analytic scope of the theoretical solutions to the “Leveler” or “averaging” model, a simple finite Markov information exchange (FMIE) model. It was demonstrated that varying activation patterns leads to significant differences in the convergence rate. Only random asynchronous activation delivered convergence rates predicted by theory. Other activation patterns show different behavior, and activation based on the internal state of the agent or “endogenous” activation led to convergence rates furthest from the theoretical values.</w:t>
      </w:r>
    </w:p>
    <w:p w:rsidR="00093C93" w:rsidRDefault="00093C93" w:rsidP="000B73E2">
      <w:pPr>
        <w:pStyle w:val="Heading2"/>
      </w:pPr>
      <w:r>
        <w:t>Background</w:t>
      </w:r>
    </w:p>
    <w:p w:rsidR="000B48A4" w:rsidRDefault="00093C93" w:rsidP="000B48A4">
      <w:r>
        <w:t>Earlier research</w:t>
      </w:r>
      <w:r w:rsidR="000B48A4">
        <w:t xml:space="preserve"> evaluated the activation question either as a nuisance, hindering the accurate construction of replications of published models, or as a potential tool to replicate real-world behavior</w:t>
      </w:r>
      <w:r>
        <w:t xml:space="preserve"> (earlier Civil Revolt paper)</w:t>
      </w:r>
      <w:r w:rsidR="000B48A4">
        <w:t>. It was also shown (</w:t>
      </w:r>
      <w:r>
        <w:t>ref:</w:t>
      </w:r>
      <w:r w:rsidR="000B48A4">
        <w:t xml:space="preserve"> the ZIT model replication) that activation may change the dynamics of a model so much that the design of the experiment needs to be reconsidered. </w:t>
      </w:r>
    </w:p>
    <w:p w:rsidR="000B48A4" w:rsidRDefault="000B48A4" w:rsidP="001B5A90">
      <w:pPr>
        <w:pStyle w:val="Heading2"/>
      </w:pPr>
      <w:r>
        <w:t xml:space="preserve">The </w:t>
      </w:r>
      <w:r w:rsidR="000B73E2">
        <w:t>Co-evolution of Theoretical and Computational Approaches</w:t>
      </w:r>
    </w:p>
    <w:p w:rsidR="000B48A4" w:rsidRDefault="000B48A4" w:rsidP="000B48A4">
      <w:r>
        <w:t xml:space="preserve">Varying activation can have another impact on modeling and system analysis: simulations with different activation schemes can allow researchers to examine system behavior that is more complex, variable, or heterogeneous than that postulated in a theoretical construct. In other words, activation can be one of the research variables that can be changed as we harness the power of simulation and move beyond equation-based descriptions of system behavior. </w:t>
      </w:r>
    </w:p>
    <w:p w:rsidR="000B48A4" w:rsidRDefault="000B48A4" w:rsidP="000B48A4">
      <w:r>
        <w:t xml:space="preserve">In this context, I examine theoretical models of system behavior that have their root in the domain of physics. Physics is a branch of science substantially different from that of civil revolt or financial markets considered above. At first glance it might appear to have little in common with these social systems. Complex adaptive systems researchers, however, have strongly benefitted from the theoretical approaches that are common in modern physics. The Santa Fe Institute, for example, was partly founded by physicists. Nobel Prize-winning physicist Murray Gell-Mann was the co-founder of SFI, and remains a distinguished fellow.  </w:t>
      </w:r>
    </w:p>
    <w:p w:rsidR="000B48A4" w:rsidRDefault="000B48A4" w:rsidP="000B48A4">
      <w:r>
        <w:t xml:space="preserve">There is actually a rich collaboration between physics research and the analysis of complex adaptive systems. A number of summaries, perspectives, and histories of the field of econophysics have established the origins in the mid-1990s. </w:t>
      </w:r>
      <w:r w:rsidR="00A042FF">
        <w:fldChar w:fldCharType="begin"/>
      </w:r>
      <w:r>
        <w:instrText xml:space="preserve"> ADDIN ZOTERO_ITEM CSL_CITATION {"citationID":"2ilfggc9hf","properties":{"formattedCitation":"(Carbone, Kaniadakis, &amp; Scarfone, 2007; Gingras &amp; Schinckus, 2012; Roehner, 2010)","plainCitation":"(Carbone, Kaniadakis, &amp; Scarfone, 2007; Gingras &amp; Schinckus, 2012; Roehner, 2010)"},"citationItems":[{"id":539,"uris":["http://zotero.org/users/1171527/items/VXV6X5A5"],"uri":["http://zotero.org/users/1171527/items/VXV6X5A5"],"itemData":{"id":539,"type":"article-journal","title":"Where do we stand on econophysics?","container-title":"Physica A: Statistical Mechanics and its Applications","page":"xi-xiv","volume":"382","issue":"1","source":"ScienceDirect","abstract":"This issue contains papers selected from the contributions presented at the 5th International Conference on “Applications of Physics in Financial Analysis” (APFA5) held in Torino from June 29th to July 1st, 2006 (http://www.polito.it/apfa5). The issue collects recent applications of models and methods of statistical physics to economic problems. This interdisciplinary field of research, known as Econophysics, has seen intensive growth over the last decade. The challenge for econophysicists will be to go beyond the traditional views of economics and physics unifying the separate lines of development followed by the two disciplines over great part of the 20th century.\n\n“The conventional view serves to protect us from the painful job of thinking”, John Kenneth Galbraith (1908–2006).","DOI":"10.1016/j.physa.2007.05.054","ISSN":"0378-4371","journalAbbreviation":"Physica A: Statistical Mechanics and its Applications","author":[{"family":"Carbone","given":"A."},{"family":"Kaniadakis","given":"G."},{"family":"Scarfone","given":"A.M."}],"issued":{"date-parts":[["2007",8,1]]},"accessed":{"date-parts":[["2013",10,21]]}},"label":"page"},{"id":472,"uris":["http://zotero.org/users/1171527/items/TAS8WGAF"],"uri":["http://zotero.org/users/1171527/items/TAS8WGAF"],"itemData":{"id":472,"type":"article-journal","title":"THE INSTITUTIONALIZATION OF ECONOPHYSICS IN THE SHADOW OF PHYSICS","container-title":"Journal of the History of Economic Thought","page":"109-130","volume":"34","issue":"01","source":"Cambridge Journals Online","abstract":"Econophysics presents itself as a new paradigm and a new specialty (or even a discipline) using various models and concepts imported from condensed matter and statistical physics to analyze economic and financial phenomena. Given that econophysics is based on different fundamental assumptions from those of mainstream economics, the disciplinary position of econophysics is not so clear. In this perspective, this paper will analyze the progressive institutionalization of econophysics using bibliometric methods to identify core authors as well as the structure of the disciplines with which econophysics is closely related.","DOI":"10.1017/S1053837212000041","author":[{"family":"Gingras","given":"Y."},{"family":"Schinckus","given":"C."}],"issued":{"date-parts":[["2012"]]}},"label":"page"},{"id":535,"uris":["http://zotero.org/users/1171527/items/ZPEB5WV4"],"uri":["http://zotero.org/users/1171527/items/ZPEB5WV4"],"itemData":{"id":535,"type":"report","title":"Fifteen years of econophysics: worries, hopes and prospects","genre":"arXiv e-print","source":"arXiv.org","abstract":"This anniversary paper is an occasion to recall some of the events that shaped institutional econophysics. But in these thoughts about the evolution of econophysics in the last 15 years we also express some concerns. Our main worry concerns the relinquishment of the simplicity requirement. Ever since the groundbreaking experiments of Galileo some three centuries ago, the great successes of physicists were largely due to the fact that they were able to decompose complex phenomena into simpler ones. Remember that the first observation of the effects of an electrical current was made by Alessandro Volta (1745-1827) on the leg of a frog! Clearly, to make sense this observation had to be broken down into several separate effects. Nowadays, with computers being able to handle huge amounts of data and to simulate any stochastic process no matter how complicated, there is no longer any real need for such a search for simplicity. Why should one spend time and effort trying to break up complicated phenomena when it is possible to handle them globally? On this new road there are several stumbling blocks, however. Do such global mathematical descriptions lead to a real understanding? Do they produce building blocks which can be used elsewhere and thus make our knowledge and comprehension to grow in a cumulative way? Should econophysics also adopt the \"globalized\" perspective that has been endorsed, developed and spread by the numerous \"Complexity Departments\" which sprang up during the last decade?","URL":"http://arxiv.org/abs/1004.3229","number":"1004.3229","shortTitle":"Fifteen years of econophysics","author":[{"family":"Roehner","given":"Bertrand M."}],"issued":{"date-parts":[["2010",4,16]]},"accessed":{"date-parts":[["2013",10,21]]}},"label":"page"}],"schema":"https://github.com/citation-style-language/schema/raw/master/csl-citation.json"} </w:instrText>
      </w:r>
      <w:r w:rsidR="00A042FF">
        <w:fldChar w:fldCharType="separate"/>
      </w:r>
      <w:r w:rsidRPr="00C9781D">
        <w:t>(Carbone, Kaniadakis, &amp; Scarfone, 2007; Gingras &amp; Schinckus, 2012; Roehner, 2010)</w:t>
      </w:r>
      <w:r w:rsidR="00A042FF">
        <w:fldChar w:fldCharType="end"/>
      </w:r>
      <w:r>
        <w:t xml:space="preserve">. In general, econophysics looks to overcome the flaws of traditional macroeconomics by relaxing many of the assumptions that fuel mainstream economic analysis. In particular, econophysics moves beyond the assumptions of normal distributions in nature and identical or ‘representative’ individuals whose average can be determined and, through aggregation, determine the system-wide behavior </w:t>
      </w:r>
      <w:r w:rsidR="00A042FF">
        <w:fldChar w:fldCharType="begin"/>
      </w:r>
      <w:r>
        <w:instrText xml:space="preserve"> ADDIN ZOTERO_ITEM CSL_CITATION {"citationID":"Pu4SOphA","properties":{"formattedCitation":"(Cho, 2009)","plainCitation":"(Cho, 2009)"},"citationItems":[{"id":520,"uris":["http://zotero.org/users/1171527/items/4CVHVX9V"],"uri":["http://zotero.org/users/1171527/items/4CVHVX9V"],"itemData":{"id":520,"type":"article-journal","title":"Econophysics: Still Controversial After All These Years","container-title":"Science","page":"408-408","volume":"325","issue":"5939","source":"www.sciencemag.org.mutex.gmu.edu","abstract":"Traditional economic theory is fundamentally flawed, econophysicists say. It relies on \"representative agent models\" in which a hypothetical average Joe interacts with monolithic economic forces. Such models ignore correlations that lead to, say, booms and busts. To prove rigorous theorems, economists assume that market fluctuations follow a bell-shaped \"Gaussian distribution,\" which underestimates the probability of big swings. Econophysicists claim to take a more data-driven approach. They have yet to score a major breakthrough, but they say their contributions are gaining wider acceptance. Still, econophysics does not impress some economists.","DOI":"10.1126/science.325_408","ISSN":"0036-8075, 1095-9203","note":"PMID: 19628851","shortTitle":"Econophysics","journalAbbreviation":"Science","language":"en","author":[{"family":"Cho","given":"Adrian"}],"issued":{"date-parts":[["2009",7,24]]},"accessed":{"date-parts":[["2013",10,21]]},"PMID":"19628851"}}],"schema":"https://github.com/citation-style-language/schema/raw/master/csl-citation.json"} </w:instrText>
      </w:r>
      <w:r w:rsidR="00A042FF">
        <w:fldChar w:fldCharType="separate"/>
      </w:r>
      <w:r w:rsidRPr="00C9781D">
        <w:t>(Cho, 2009)</w:t>
      </w:r>
      <w:r w:rsidR="00A042FF">
        <w:fldChar w:fldCharType="end"/>
      </w:r>
      <w:r>
        <w:t xml:space="preserve">. Some important examples of the application of physics to economics include </w:t>
      </w:r>
    </w:p>
    <w:p w:rsidR="000B48A4" w:rsidRDefault="000B48A4" w:rsidP="000B48A4">
      <w:pPr>
        <w:pStyle w:val="ListParagraph"/>
        <w:numPr>
          <w:ilvl w:val="0"/>
          <w:numId w:val="1"/>
        </w:numPr>
      </w:pPr>
      <w:r>
        <w:t xml:space="preserve">The observation that non-equilibrium price time series (such as seen in most markets) can be replicated by a simple </w:t>
      </w:r>
      <w:proofErr w:type="spellStart"/>
      <w:r>
        <w:t>Ising</w:t>
      </w:r>
      <w:proofErr w:type="spellEnd"/>
      <w:r>
        <w:t xml:space="preserve"> model of a one-dimensional array of particles </w:t>
      </w:r>
      <w:r w:rsidR="00A042FF">
        <w:fldChar w:fldCharType="begin"/>
      </w:r>
      <w:r>
        <w:instrText xml:space="preserve"> ADDIN ZOTERO_ITEM CSL_CITATION {"citationID":"alwOpyNS","properties":{"formattedCitation":"(Sznajd-Weron &amp; Weron, 2002)","plainCitation":"(Sznajd-Weron &amp; Weron, 2002)"},"citationItems":[{"id":443,"uris":["http://zotero.org/users/1171527/items/4K4TJ63B"],"uri":["http://zotero.org/users/1171527/items/4K4TJ63B"],"itemData":{"id":443,"type":"article-journal","title":"A simple model of price formation","container-title":"International Journal of Modern Physics C","page":"115–123","volume":"13","issue":"01","source":"Google Scholar","abstract":"A simple Ising spin model which can describe the mechanism of price formation in financial markets is proposed. In contrast to other agent-based models, the influence does not flow inward from the surrounding neighbors to the center site, but spreads outward from the center to the neighbors. The model thus describes the spread of opinions among traders. It is shown via standard Monte Carlo simulations that very simple rules lead to dynamics that duplicate those of asset prices.","author":[{"family":"Sznajd-Weron","given":"K."},{"family":"Weron","given":"R."}],"issued":{"date-parts":[["2002"]]},"accessed":{"date-parts":[["2013",4,18]]}}}],"schema":"https://github.com/citation-style-language/schema/raw/master/csl-citation.json"} </w:instrText>
      </w:r>
      <w:r w:rsidR="00A042FF">
        <w:fldChar w:fldCharType="separate"/>
      </w:r>
      <w:r w:rsidRPr="00C9781D">
        <w:t>(Sznajd-Weron &amp; Weron, 2002)</w:t>
      </w:r>
      <w:r w:rsidR="00A042FF">
        <w:fldChar w:fldCharType="end"/>
      </w:r>
      <w:r>
        <w:t>.</w:t>
      </w:r>
    </w:p>
    <w:p w:rsidR="000B48A4" w:rsidRDefault="000B48A4" w:rsidP="000B48A4">
      <w:pPr>
        <w:pStyle w:val="ListParagraph"/>
        <w:numPr>
          <w:ilvl w:val="0"/>
          <w:numId w:val="1"/>
        </w:numPr>
      </w:pPr>
      <w:r>
        <w:t xml:space="preserve">Percolation theory has been broadly applied to help understand consumer adoption behavior and social influence on economic trends </w:t>
      </w:r>
      <w:r w:rsidR="00A042FF">
        <w:fldChar w:fldCharType="begin"/>
      </w:r>
      <w:r>
        <w:instrText xml:space="preserve"> ADDIN ZOTERO_ITEM CSL_CITATION {"citationID":"5bqEIAQZ","properties":{"formattedCitation":"{\\rtf (Kiesling, G\\uc0\\u252{}nther, Stummer, &amp; Wakolbinger, 2012)}","plainCitation":"(Kiesling, Günther, Stummer, &amp; Wakolbinger, 2012)"},"citationItems":[{"id":545,"uris":["http://zotero.org/users/1171527/items/24T2V8Z9"],"uri":["http://zotero.org/users/1171527/items/24T2V8Z9"],"itemData":{"id":545,"type":"article-journal","title":"Agent-based simulation of innovation diffusion: a review","container-title":"Central European Journal of Operations Research","page":"183-230","volume":"20","issue":"2","source":"link.springer.com","abstract":"Mathematical modeling of innovation diffusion has attracted strong academic interest since the early 1960s. Traditional diffusion models have aimed at empirical generalizations and hence describe the spread of new products parsimoniously at the market level. More recently, agent-based modeling and simulation has increasingly been adopted since it operates on the individual level and, thus, can capture complex emergent phenomena highly relevant in diffusion research. Agent-based methods have been applied in this context both as intuition aids that facilitate theory-building and as tools to analyze real-world scenarios, support management decisions and obtain policy recommendations. This review addresses both streams of research. We critically examine the strengths and limitations of agent-based modeling in the context of innovation diffusion, discuss new insights agent-based models have provided, and outline promising opportunities for future research. The target audience of the paper includes both researchers in marketing interested in new findings from the agent-based modeling literature and researchers who intend to implement agent-based models for their own research endeavors. Accordingly, we also cover pivotal modeling aspects in depth (concerning, e.g., consumer adoption behavior and social influence) and outline existing models in sufficient detail to provide a proper entry point for researchers new to the field.","DOI":"10.1007/s10100-011-0210-y","ISSN":"1435-246X, 1613-9178","shortTitle":"Agent-based simulation of innovation diffusion","journalAbbreviation":"Cent Eur J Oper Res","language":"en","author":[{"family":"Kiesling","given":"Elmar"},{"family":"Günther","given":"Markus"},{"family":"Stummer","given":"Christian"},{"family":"Wakolbinger","given":"Lea M."}],"issued":{"date-parts":[["2012",6,1]]},"accessed":{"date-parts":[["2013",10,21]]}}}],"schema":"https://github.com/citation-style-language/schema/raw/master/csl-citation.json"} </w:instrText>
      </w:r>
      <w:r w:rsidR="00A042FF">
        <w:fldChar w:fldCharType="separate"/>
      </w:r>
      <w:r w:rsidRPr="002C058A">
        <w:rPr>
          <w:szCs w:val="24"/>
        </w:rPr>
        <w:t>(Kiesling, Günther, Stummer, &amp; Wakolbinger, 2012)</w:t>
      </w:r>
      <w:r w:rsidR="00A042FF">
        <w:fldChar w:fldCharType="end"/>
      </w:r>
      <w:r>
        <w:t xml:space="preserve">. They have also been important in depicting the influence of herd behavior on market fluctuations (bubbles and crashes in particular) </w:t>
      </w:r>
      <w:r w:rsidR="00A042FF">
        <w:fldChar w:fldCharType="begin"/>
      </w:r>
      <w:r>
        <w:instrText xml:space="preserve"> ADDIN ZOTERO_ITEM CSL_CITATION {"citationID":"d8HBN2a0","properties":{"formattedCitation":"(Cont &amp; Bouchaud, 2000)","plainCitation":"(Cont &amp; Bouchaud, 2000)"},"citationItems":[{"id":553,"uris":["http://zotero.org/users/1171527/items/4VXK2T7G"],"uri":["http://zotero.org/users/1171527/items/4VXK2T7G"],"itemData":{"id":553,"type":"article-journal","title":"HERD BEHAVIOR AND AGGREGATE FLUCTUATIONS IN FINANCIAL MARKETS","container-title":"Macroeconomic Dynamics","page":"170-196","volume":"4","issue":"02","source":"Cambridge Journals Online","author":[{"family":"Cont","given":"Rama"},{"family":"Bouchaud","given":"Jean-Philipe"}],"issued":{"date-parts":[["2000"]]}}}],"schema":"https://github.com/citation-style-language/schema/raw/master/csl-citation.json"} </w:instrText>
      </w:r>
      <w:r w:rsidR="00A042FF">
        <w:fldChar w:fldCharType="separate"/>
      </w:r>
      <w:r w:rsidRPr="00063EE1">
        <w:t>(Cont &amp; Bouchaud, 2000)</w:t>
      </w:r>
      <w:r w:rsidR="00A042FF">
        <w:fldChar w:fldCharType="end"/>
      </w:r>
      <w:r>
        <w:t>.</w:t>
      </w:r>
    </w:p>
    <w:p w:rsidR="000B48A4" w:rsidRDefault="000B48A4" w:rsidP="000B48A4">
      <w:pPr>
        <w:pStyle w:val="ListParagraph"/>
        <w:numPr>
          <w:ilvl w:val="0"/>
          <w:numId w:val="1"/>
        </w:numPr>
      </w:pPr>
      <w:r>
        <w:t xml:space="preserve">In analyzing price time series in markets, Benoit Mandelbrot noted that there exist extremely long memory effects. To measure these, he drew from the geophysical field of hydrology, which measures long memory in time series using the Hurst exponent (Hurst was a civil engineer working on flood control in the Nile River valley) </w:t>
      </w:r>
      <w:r w:rsidR="00A042FF">
        <w:fldChar w:fldCharType="begin"/>
      </w:r>
      <w:r>
        <w:instrText xml:space="preserve"> ADDIN ZOTERO_ITEM CSL_CITATION {"citationID":"IUp3W56o","properties":{"formattedCitation":"(Mandelbrot &amp; Hudson, 2004)","plainCitation":"(Mandelbrot &amp; Hudson, 2004)"},"citationItems":[{"id":416,"uris":["http://zotero.org/users/1171527/items/VHGCN392"],"uri":["http://zotero.org/users/1171527/items/VHGCN392"],"itemData":{"id":416,"type":"book","title":"The Misbehavior of Markets: A Fractal View of Risk, Ruin, and Reward","publisher":"Basic Books","number-of-pages":"360","source":"Google Books","abstract":"Benoit B. Mandelbrot, one of the century's most influential mathematicians, is world-famous for making mathematical sense of a fact everybody knows but that geometers from Euclid on down had never assimilated: Clouds are not round, mountains are not cones, coastlines are not smooth. To these classic lines we can now add another example: Markets are not the safe bet your broker may claim. In his first book for a general audience, Mandelbrot, with co-author Richard L. Hudson, shows how the dominant way of thinking about the behavior of markets-a set of mathematical assumptions a century old and still learned by every MBA and financier in the world-simply does not work. As he did for the physical world in his classic The Fractal Geometry of Nature, Mandelbrot here uses fractal geometry to propose a new, more accurate way of describing market behavior. The complex gyrations of IBM's stock price and the dollar-euro exchange rate can now be reduced to straightforward formulae that yield a far better model of how risky they are. With his fractal tools, Mandelbrot has gotten to the bottom of how financial markets really work, and in doing so, he describes the volatile, dangerous (and strangely beautiful) properties that financial experts have never before accounted for. The result is no less than the foundation for a new science of finance.","ISBN":"9780465043552","shortTitle":"The Misbehavior of Markets","language":"en","author":[{"family":"Mandelbrot","given":"Benoit B."},{"family":"Hudson","given":"Richard L."}],"issued":{"date-parts":[["2004",8,3]]}}}],"schema":"https://github.com/citation-style-language/schema/raw/master/csl-citation.json"} </w:instrText>
      </w:r>
      <w:r w:rsidR="00A042FF">
        <w:fldChar w:fldCharType="separate"/>
      </w:r>
      <w:r w:rsidRPr="002C058A">
        <w:t>(Mandelbrot &amp; Hudson, 2004)</w:t>
      </w:r>
      <w:r w:rsidR="00A042FF">
        <w:fldChar w:fldCharType="end"/>
      </w:r>
      <w:r>
        <w:t xml:space="preserve">.  </w:t>
      </w:r>
    </w:p>
    <w:p w:rsidR="000B48A4" w:rsidRDefault="000B48A4" w:rsidP="001B5A90">
      <w:pPr>
        <w:pStyle w:val="Heading2"/>
      </w:pPr>
      <w:r>
        <w:t>Interacting Particle Systems as Social Models</w:t>
      </w:r>
    </w:p>
    <w:p w:rsidR="000B48A4" w:rsidRDefault="000B48A4" w:rsidP="000B48A4">
      <w:r>
        <w:t xml:space="preserve">In this chapter I will focus on interacting particle systems and their analogs within the social science world. This relationship has stirred considerable interest among advanced researchers who seek to combine the mathematics with complexity theory. One team, for example, claims to demonstrate that the field of ‘out-of-equilibrium’ statistical physics is uniquely appropriate for understanding complex system dynamics. Such a fusion of the fields can help to explain the ubiquitous appearance of </w:t>
      </w:r>
      <w:r w:rsidRPr="00F517FF">
        <w:rPr>
          <w:szCs w:val="24"/>
        </w:rPr>
        <w:t>non-stationary and non-</w:t>
      </w:r>
      <w:proofErr w:type="spellStart"/>
      <w:r w:rsidRPr="00F517FF">
        <w:rPr>
          <w:szCs w:val="24"/>
        </w:rPr>
        <w:t>ergodic</w:t>
      </w:r>
      <w:proofErr w:type="spellEnd"/>
      <w:r w:rsidRPr="00F517FF">
        <w:rPr>
          <w:szCs w:val="24"/>
        </w:rPr>
        <w:t xml:space="preserve"> statistical processes and inverse power-law statistical distributions</w:t>
      </w:r>
      <w:r>
        <w:rPr>
          <w:szCs w:val="24"/>
        </w:rPr>
        <w:t xml:space="preserve"> </w:t>
      </w:r>
      <w:r w:rsidR="00A042FF">
        <w:rPr>
          <w:szCs w:val="24"/>
        </w:rPr>
        <w:fldChar w:fldCharType="begin"/>
      </w:r>
      <w:r>
        <w:rPr>
          <w:szCs w:val="24"/>
        </w:rPr>
        <w:instrText xml:space="preserve"> ADDIN ZOTERO_ITEM CSL_CITATION {"citationID":"0IDwUWOA","properties":{"formattedCitation":"(West, Geneston, &amp; Grigolini, 2008)","plainCitation":"(West, Geneston, &amp; Grigolini, 2008)"},"citationItems":[{"id":575,"uris":["http://zotero.org/users/1171527/items/ABHR9WSP"],"uri":["http://zotero.org/users/1171527/items/ABHR9WSP"],"itemData":{"id":575,"type":"article-journal","title":"Maximizing information exchange between complex networks","container-title":"Physics Reports","page":"1-99","volume":"468","issue":"1–3","source":"ScienceDirect","abstract":"Science is not merely the smooth progressive interaction of hypothesis, experiment and theory, although it sometimes has that form. More realistically the scientific study of any given complex phenomenon generates a number of explanations, from a variety of perspectives, that eventually requires synthesis to achieve a deep level of insight and understanding. One such synthesis has created the field of out-of-equilibrium statistical physics as applied to the understanding of complex dynamic networks. Over the past forty years the concept of complexity has undergone a metamorphosis. Complexity was originally seen as a consequence of memory in individual particle trajectories, in full agreement with a Hamiltonian picture of microscopic dynamics and, in principle, macroscopic dynamics could be derived from the microscopic Hamiltonian picture. The main difficulty in deriving macroscopic dynamics from microscopic dynamics is the need to take into account the actions of a very large number of components. The existence of events such as abrupt jumps, considered by the conventional continuous time random walk approach to describing complexity was never perceived as conflicting with the Hamiltonian view. Herein we review many of the reasons why this traditional Hamiltonian view of complexity is unsatisfactory. We show that as a result of technological advances, which make the observation of single elementary events possible, the definition of complexity has shifted from the conventional memory concept towards the action of non-Poisson renewal events. We show that the observation of crucial processes, such as the intermittent fluorescence of blinking quantum dots as well as the brain’s response to music, as monitored by a set of electrodes attached to the scalp, has forced investigators to go beyond the traditional concept of complexity and to establish closer contact with the nascent field of complex networks. Complex networks form one of the most challenging areas of modern research overarching all of the traditional scientific disciplines. The transportation networks of planes, highways and railroads; the economic networks of global finance and stock markets; the social networks of terrorism, governments, businesses and churches; the physical networks of telephones, the Internet, earthquakes and global warming and the biological networks of gene regulation, the human body, clusters of neurons and food webs, share a number of apparently universal properties as the networks become increasingly complex. Ubiquitous aspects of such complex networks are the appearance of non-stationary and non-ergodic statistical processes and inverse power-law statistical distributions. Herein we review the traditional dynamical and phase–space methods for modeling such networks as their complexity increases and focus on the limitations of these procedures in explaining complex networks. Of course we will not be able to review the entire nascent field of network science, so we limit ourselves to a review of how certain complexity barriers have been surmounted using newly applied theoretical concepts such as aging, renewal, non-ergodic statistics and the fractional calculus. One emphasis of this review is information transport between complex networks, which requires a fundamental change in perception that we express as a transition from the familiar stochastic resonance to the new concept of complexity matching.","DOI":"10.1016/j.physrep.2008.06.003","ISSN":"0370-1573","journalAbbreviation":"Physics Reports","author":[{"family":"West","given":"Bruce J."},{"family":"Geneston","given":"Elvis L."},{"family":"Grigolini","given":"Paolo"}],"issued":{"date-parts":[["2008",10]]},"accessed":{"date-parts":[["2013",10,29]]}}}],"schema":"https://github.com/citation-style-language/schema/raw/master/csl-citation.json"} </w:instrText>
      </w:r>
      <w:r w:rsidR="00A042FF">
        <w:rPr>
          <w:szCs w:val="24"/>
        </w:rPr>
        <w:fldChar w:fldCharType="separate"/>
      </w:r>
      <w:r w:rsidRPr="00F517FF">
        <w:t>(West, Geneston, &amp; Grigolini, 2008)</w:t>
      </w:r>
      <w:r w:rsidR="00A042FF">
        <w:rPr>
          <w:szCs w:val="24"/>
        </w:rPr>
        <w:fldChar w:fldCharType="end"/>
      </w:r>
      <w:r>
        <w:rPr>
          <w:szCs w:val="24"/>
        </w:rPr>
        <w:t xml:space="preserve">. Markov processes have proven useful in understanding and modeling the negotiation process </w:t>
      </w:r>
      <w:r w:rsidR="00A042FF">
        <w:rPr>
          <w:szCs w:val="24"/>
        </w:rPr>
        <w:fldChar w:fldCharType="begin"/>
      </w:r>
      <w:r>
        <w:rPr>
          <w:szCs w:val="24"/>
        </w:rPr>
        <w:instrText xml:space="preserve"> ADDIN ZOTERO_ITEM CSL_CITATION {"citationID":"jyGe5PG8","properties":{"formattedCitation":"(Weingart, Prietula, Hyder, &amp; Genovese, 1999)","plainCitation":"(Weingart, Prietula, Hyder, &amp; Genovese, 1999)"},"citationItems":[{"id":578,"uris":["http://zotero.org/users/1171527/items/4T46JR64"],"uri":["http://zotero.org/users/1171527/items/4T46JR64"],"itemData":{"id":578,"type":"article-journal","title":"Knowledge and the Sequential Processes of Negotiation: A Markov Chain Analysis of Response-in-Kind","container-title":"Journal of Experimental Social Psychology","page":"366-393","volume":"35","issue":"4","source":"ScienceDirect","abstract":"The impact of tactical knowledge on integrative and distributive response-in-kind behavior sequences and the ability to shift from distributive to integrative behaviors were examined using data from a prior study. Ninety dyads engaged in a multi-issue joint venture negotiation. Forty-five dyads were provided tactical knowledge and the other 45 were not. Markov chain analysis was used to test the hypotheses. A second-order chain best fit the data. Results showed that negotiators responded-in-kind to both distributive and integrative tactical behavior regardless of tactical knowledge. In line with Weick's (1969) “double interact” proposition of interlocked behaviors, negotiators with tactical knowledge were more likely to respond-in-kind to integrative behavior than were those without such knowledge, but only after their previous integrative behavior had been reciprocated. In addition, negotiators with tactical knowledge engaged in longer chains of integrative behavior (regardless of the behavior of the other party) than did negotiators without tactical knowledge; however, this only occurred after two integrative behaviors had occurred previously.","DOI":"10.1006/jesp.1999.1378","ISSN":"0022-1031","shortTitle":"Knowledge and the Sequential Processes of Negotiation","journalAbbreviation":"Journal of Experimental Social Psychology","author":[{"family":"Weingart","given":"Laurie R."},{"family":"Prietula","given":"Michael J."},{"family":"Hyder","given":"Elaine B."},{"family":"Genovese","given":"Christopher R."}],"issued":{"date-parts":[["1999",7]]},"accessed":{"date-parts":[["2013",10,29]]}}}],"schema":"https://github.com/citation-style-language/schema/raw/master/csl-citation.json"} </w:instrText>
      </w:r>
      <w:r w:rsidR="00A042FF">
        <w:rPr>
          <w:szCs w:val="24"/>
        </w:rPr>
        <w:fldChar w:fldCharType="separate"/>
      </w:r>
      <w:r w:rsidRPr="00F517FF">
        <w:t>(Weingart, Prietula, Hyder, &amp; Genovese, 1999)</w:t>
      </w:r>
      <w:r w:rsidR="00A042FF">
        <w:rPr>
          <w:szCs w:val="24"/>
        </w:rPr>
        <w:fldChar w:fldCharType="end"/>
      </w:r>
      <w:r>
        <w:rPr>
          <w:szCs w:val="24"/>
        </w:rPr>
        <w:t>.</w:t>
      </w:r>
      <w:r>
        <w:t xml:space="preserve"> More afield (and, perhaps less directly related), the broad field of </w:t>
      </w:r>
      <w:r>
        <w:lastRenderedPageBreak/>
        <w:t xml:space="preserve">Markov Chain Monte Carlo methods, and its combination with evolutionary algorithms, has also been applied to the information exchange process. While the models bear little resemblance to agent-based models, the extensive application of ideas first developed for physics and chemistry to search algorithms (among other problems) </w:t>
      </w:r>
      <w:r w:rsidR="00A042FF">
        <w:fldChar w:fldCharType="begin"/>
      </w:r>
      <w:r>
        <w:instrText xml:space="preserve"> ADDIN ZOTERO_ITEM CSL_CITATION {"citationID":"sVrX7Tzd","properties":{"formattedCitation":"(Laskey &amp; Myers, 2003)","plainCitation":"(Laskey &amp; Myers, 2003)"},"citationItems":[{"id":581,"uris":["http://zotero.org/users/1171527/items/62SS3828"],"uri":["http://zotero.org/users/1171527/items/62SS3828"],"itemData":{"id":581,"type":"article-journal","title":"Population Markov Chain Monte Carlo","container-title":"Machine Learning","page":"175-196","volume":"50","issue":"1-2","source":"link.springer.com","abstract":"Stochastic search algorithms inspired by physical and biological systems are applied to the problem of learning directed graphical probability models in the presence of missing observations and hidden variables. For this class of problems, deterministic search algorithms tend to halt at local optima, requiring random restarts to obtain solutions of acceptable quality. We compare three stochastic search algorithms: a Metropolis-Hastings Sampler (MHS), an Evolutionary Algorithm (EA), and a new hybrid algorithm called Population Markov Chain Monte Carlo, or popMCMC. PopMCMC uses statistical information from a population of MHSs to inform the proposal distributions for individual samplers in the population. Experimental results show that popMCMC and EAs learn more efficiently than the MHS with no information exchange. Populations of MCMC samplers exhibit more diversity than populations evolving according to EAs not satisfying physics-inspired local reversibility conditions.","DOI":"10.1023/A:1020206129842","ISSN":"0885-6125, 1573-0565","journalAbbreviation":"Machine Learning","language":"en","author":[{"family":"Laskey","given":"Kathryn Blackmond"},{"family":"Myers","given":"James W."}],"issued":{"date-parts":[["2003",1,1]]},"accessed":{"date-parts":[["2013",10,29]]}}}],"schema":"https://github.com/citation-style-language/schema/raw/master/csl-citation.json"} </w:instrText>
      </w:r>
      <w:r w:rsidR="00A042FF">
        <w:fldChar w:fldCharType="separate"/>
      </w:r>
      <w:r w:rsidRPr="00186044">
        <w:t>(Laskey &amp; Myers, 2003)</w:t>
      </w:r>
      <w:r w:rsidR="00A042FF">
        <w:fldChar w:fldCharType="end"/>
      </w:r>
      <w:r>
        <w:t xml:space="preserve"> show that this is a fecund combination of disciplines. Another large field that uses concepts of particle physics and recently employs the insights of Markov chains is the question in signal processing of finding the best filter </w:t>
      </w:r>
      <w:r w:rsidR="00A042FF">
        <w:fldChar w:fldCharType="begin"/>
      </w:r>
      <w:r>
        <w:instrText xml:space="preserve"> ADDIN ZOTERO_ITEM CSL_CITATION {"citationID":"fdVm12M1","properties":{"formattedCitation":"(Lee &amp; West, 2013)","plainCitation":"(Lee &amp; West, 2013)"},"citationItems":[{"id":584,"uris":["http://zotero.org/users/1171527/items/SIUQEW22"],"uri":["http://zotero.org/users/1171527/items/SIUQEW22"],"itemData":{"id":584,"type":"article-journal","title":"Convergence of the Markov Chain Distributed Particle Filter (MCDPF)","container-title":"IEEE Transactions on Signal Processing","page":"801-812","volume":"61","issue":"4","source":"IEEE Xplore","abstract":"The Markov Chain Distributed Particle Filter (MCDPF) is an algorithm for the nodes in a sensor network to cooperatively run a particle filter, based on each sensor making updates to a local particle set using only local measurements, and then having particles exchanged between neighboring sensors based on a Markov chain on the network. This paper extends previously-known almost sure convergence results for the MCDPF to prove that the MCDPF convergences to the optimal filter in mean square as the number of particles and the number of Markov chain steps both go to infinity. The convergence proof derives an explicit error bound, showing that the convergence is inverse square-root in both parameters. A numerical example is provided to support the theoretical result.","DOI":"10.1109/TSP.2012.2231075","ISSN":"1053-587X","author":[{"family":"Lee","given":"Sun Hwan"},{"family":"West","given":"M."}],"issued":{"date-parts":[["2013"]]}}}],"schema":"https://github.com/citation-style-language/schema/raw/master/csl-citation.json"} </w:instrText>
      </w:r>
      <w:r w:rsidR="00A042FF">
        <w:fldChar w:fldCharType="separate"/>
      </w:r>
      <w:r w:rsidRPr="005169C1">
        <w:t>(Lee &amp; West, 2013)</w:t>
      </w:r>
      <w:r w:rsidR="00A042FF">
        <w:fldChar w:fldCharType="end"/>
      </w:r>
      <w:r>
        <w:t xml:space="preserve">.  </w:t>
      </w:r>
    </w:p>
    <w:p w:rsidR="000B48A4" w:rsidRDefault="000B48A4" w:rsidP="000B48A4">
      <w:r>
        <w:t xml:space="preserve">The fusion of stochastic particle physics and social systems analysis is also taking place in the opposite direction: social scientists are finding new applications that bring the rigor and mature theory to their emergent problems. For example, </w:t>
      </w:r>
      <w:proofErr w:type="spellStart"/>
      <w:r>
        <w:t>Cai</w:t>
      </w:r>
      <w:proofErr w:type="spellEnd"/>
      <w:r>
        <w:t xml:space="preserve"> and Ishii have started with straightforward social science questions – the formation of a consensus and the distribution of wealth – and solved the question of convergence using defined and quantized Markov chains </w:t>
      </w:r>
      <w:r w:rsidR="00A042FF">
        <w:fldChar w:fldCharType="begin"/>
      </w:r>
      <w:r>
        <w:instrText xml:space="preserve"> ADDIN ZOTERO_ITEM CSL_CITATION {"citationID":"VlmOOScO","properties":{"formattedCitation":"(Cai &amp; Ishii, 2012)","plainCitation":"(Cai &amp; Ishii, 2012)"},"citationItems":[{"id":556,"uris":["http://zotero.org/users/1171527/items/R84574AC"],"uri":["http://zotero.org/users/1171527/items/R84574AC"],"itemData":{"id":556,"type":"article-journal","title":"Convergence time analysis of quantized gossip consensus on digraphs","container-title":"Automatica","page":"2344-2351","volume":"48","issue":"9","source":"ScienceDirect","abstract":"We have recently proposed quantized gossip algorithms which solve the consensus and averaging problems on directed graphs with the least restrictive connectivity requirements. In this paper we study the convergence time of these algorithms. To this end, we investigate the shrinking time of the smallest interval that contains all states for the consensus algorithm, and the decay time of a suitable Lyapunov function for the averaging algorithm. The investigation leads us to characterize the convergence time by the hitting time in certain special Markov chains. We simplify the structures of state transition by considering the special case of complete graphs, where every edge can be activated with an equal probability, and derive polynomial upper bounds on convergence time.","DOI":"10.1016/j.automatica.2012.06.048","ISSN":"0005-1098","journalAbbreviation":"Automatica","author":[{"family":"Cai","given":"Kai"},{"family":"Ishii","given":"Hideaki"}],"issued":{"date-parts":[["2012",9]]},"accessed":{"date-parts":[["2013",10,21]]}}}],"schema":"https://github.com/citation-style-language/schema/raw/master/csl-citation.json"} </w:instrText>
      </w:r>
      <w:r w:rsidR="00A042FF">
        <w:fldChar w:fldCharType="separate"/>
      </w:r>
      <w:r w:rsidRPr="00EE61D0">
        <w:t>(Cai &amp; Ishii, 2012)</w:t>
      </w:r>
      <w:r w:rsidR="00A042FF">
        <w:fldChar w:fldCharType="end"/>
      </w:r>
      <w:r>
        <w:t xml:space="preserve">. In their conclusions, however, the authors point to a major issue in applying this extensive mathematical treatment to real world situations. In their final remark (Remark 16), </w:t>
      </w:r>
      <w:proofErr w:type="spellStart"/>
      <w:r>
        <w:t>Cai</w:t>
      </w:r>
      <w:proofErr w:type="spellEnd"/>
      <w:r>
        <w:t xml:space="preserve"> and Ishii note that extending their results becomes difficult if the topologies of agent interactions are less well defined. They don’t mention this, but if the agent interaction topologies are inconstant in time, extension of this mathematical approach may be unachievable. </w:t>
      </w:r>
    </w:p>
    <w:p w:rsidR="000B48A4" w:rsidRDefault="000B48A4" w:rsidP="001B5A90">
      <w:pPr>
        <w:pStyle w:val="Heading2"/>
      </w:pPr>
      <w:r>
        <w:t>Theoretical Baseline: Assumptions, Derivations, Predictions</w:t>
      </w:r>
    </w:p>
    <w:p w:rsidR="000B48A4" w:rsidRDefault="000B48A4" w:rsidP="000B48A4">
      <w:r>
        <w:t xml:space="preserve">Interacting Particle Systems have been well-defined mathematically. An elegant theory based on the statistics of continuous time Markov chains provides mathematical solutions (once the system parameters are known) for convergence rates, steady-state distributions, mean arrival times (for a given state), and other outcome behaviors of interest.  </w:t>
      </w:r>
    </w:p>
    <w:p w:rsidR="000B48A4" w:rsidRDefault="000B48A4" w:rsidP="000B48A4">
      <w:r>
        <w:t xml:space="preserve">Aldous, in exploring this theory, blends interacting particle systems with social systems analysis, and draws an analogy from game theory </w:t>
      </w:r>
      <w:r w:rsidR="00A042FF">
        <w:fldChar w:fldCharType="begin"/>
      </w:r>
      <w:r>
        <w:instrText xml:space="preserve"> ADDIN ZOTERO_ITEM CSL_CITATION {"citationID":"b9rNkdAO","properties":{"formattedCitation":"(Aldous &amp; Lanoue, 2012)","plainCitation":"(Aldous &amp; Lanoue, 2012)"},"citationItems":[{"id":524,"uris":["http://zotero.org/users/1171527/items/ACNB8MPS"],"uri":["http://zotero.org/users/1171527/items/ACNB8MPS"],"itemData":{"id":524,"type":"article-journal","title":"Interacting Particle Systems as Stochastic Social Dynamics","container-title":"Probability Surveys","page":"90–102","volume":"9","source":"Google Scholar","author":[{"family":"Aldous","given":"David"},{"family":"Lanoue","given":"Daniel"}],"issued":{"date-parts":[["2012"]]},"accessed":{"date-parts":[["2013",9,7]]}}}],"schema":"https://github.com/citation-style-language/schema/raw/master/csl-citation.json"} </w:instrText>
      </w:r>
      <w:r w:rsidR="00A042FF">
        <w:fldChar w:fldCharType="separate"/>
      </w:r>
      <w:r w:rsidRPr="004903B5">
        <w:t>(Aldous &amp; Lanoue, 2012)</w:t>
      </w:r>
      <w:r w:rsidR="00A042FF">
        <w:fldChar w:fldCharType="end"/>
      </w:r>
      <w:r>
        <w:t xml:space="preserve">. Game theory has its origins among physicists, but is now broadly applied to social science issues. Moreover, the field is characterized by a small number of simple games which have an abiding importance across a broad range of domains: Prisoner’s Dilemma, Tragedy of the Commons, Battle of the Sexes, etc. </w:t>
      </w:r>
    </w:p>
    <w:p w:rsidR="000B48A4" w:rsidRDefault="000B48A4" w:rsidP="000B48A4">
      <w:r>
        <w:t>Aldous has noted that the extension of interacting particle systems is also based on the application of a small number of straightforward model. IPS are characterized by a common structure:</w:t>
      </w:r>
    </w:p>
    <w:p w:rsidR="000B48A4" w:rsidRDefault="000B48A4" w:rsidP="000B48A4">
      <w:pPr>
        <w:pStyle w:val="ListParagraph"/>
        <w:numPr>
          <w:ilvl w:val="0"/>
          <w:numId w:val="2"/>
        </w:numPr>
      </w:pPr>
      <w:r>
        <w:t>A large population of agents – normally taken to represent individuals.</w:t>
      </w:r>
    </w:p>
    <w:p w:rsidR="000B48A4" w:rsidRDefault="000B48A4" w:rsidP="000B48A4">
      <w:pPr>
        <w:pStyle w:val="ListParagraph"/>
        <w:numPr>
          <w:ilvl w:val="0"/>
          <w:numId w:val="2"/>
        </w:numPr>
      </w:pPr>
      <w:r>
        <w:t>A network or graph that defines the connections among these individuals. Commonly, the edges of this graph are weighted.</w:t>
      </w:r>
    </w:p>
    <w:p w:rsidR="000B48A4" w:rsidRDefault="000B48A4" w:rsidP="000B48A4">
      <w:pPr>
        <w:pStyle w:val="ListParagraph"/>
        <w:numPr>
          <w:ilvl w:val="0"/>
          <w:numId w:val="2"/>
        </w:numPr>
      </w:pPr>
      <w:r>
        <w:t>A meeting model that interprets the weights of the edges as the frequency of meeting</w:t>
      </w:r>
    </w:p>
    <w:p w:rsidR="000B48A4" w:rsidRDefault="000B48A4" w:rsidP="000B48A4">
      <w:pPr>
        <w:pStyle w:val="ListParagraph"/>
        <w:numPr>
          <w:ilvl w:val="0"/>
          <w:numId w:val="2"/>
        </w:numPr>
      </w:pPr>
      <w:r>
        <w:t>A meeting algorithm in which the agents exchange information, possibly changing their state in the process.</w:t>
      </w:r>
    </w:p>
    <w:p w:rsidR="000B48A4" w:rsidRDefault="000B48A4" w:rsidP="000B48A4">
      <w:r>
        <w:t xml:space="preserve">The last point has motivated Aldous to coin the name Finite Markov Information Exchanges to describe the specialized application of IPS to social science. He notes that the lack of a common name has probably limited the impact of such research, and hindered the formation of a community of practice similar to those who work in the area of game theory. </w:t>
      </w:r>
    </w:p>
    <w:p w:rsidR="000B48A4" w:rsidRDefault="000B48A4" w:rsidP="000B48A4">
      <w:r>
        <w:t xml:space="preserve">Aldous defines interaction rates as the symmetric matrix </w:t>
      </w:r>
      <w:r>
        <w:rPr>
          <w:rFonts w:ascii="Cambria Math" w:hAnsi="Cambria Math" w:cs="Cambria Math"/>
        </w:rPr>
        <w:t>𝒩</w:t>
      </w:r>
      <w:r>
        <w:t xml:space="preserve">, which has zeroes in the diagonal (agents don’t have meetings with themselves) </w:t>
      </w:r>
      <w:r w:rsidR="00A042FF">
        <w:fldChar w:fldCharType="begin"/>
      </w:r>
      <w:r>
        <w:instrText xml:space="preserve"> ADDIN ZOTERO_ITEM CSL_CITATION {"citationID":"GFMDDIgZ","properties":{"formattedCitation":"(Aldous, 2013)","plainCitation":"(Aldous, 2013)"},"citationItems":[{"id":571,"uris":["http://zotero.org/users/1171527/items/7MMK6QG5"],"uri":["http://zotero.org/users/1171527/items/7MMK6QG5"],"itemData":{"id":571,"type":"speech","title":"IPS as Stochastic Social Dynamics - PowerPoint.pdf","abstract":"Analogy: game theory not about “games\" (baseball, chess, . . . ) but about a particular setup (players choose actions separately, get payouts) which is useful in other contexts (Google ads). \nAnalogously, my nominal topic is \\ow of information through networks\", but I'm going to specify a particular setup. Thousands of papers over the last ten years, in fields such as statistical physics; epidemic theory; broadcast algorithms on graphs; ad hoc networks; social learning theory, can be fitted into this setup. But it doesn't have a standard name -- there exist names like “interacting particle systems\" or “social dynamics\" but these have rather fuzzy boundaries. The best name I can invent is Finite Markov Information-Exchange (FMIE) Processes.","URL":"http://www.stat.berkeley.edu/~aldous/Talks/FMIE_talk_2.pdf","author":[{"family":"Aldous","given":"David"}],"issued":{"date-parts":[["2013",4,5]]},"accessed":{"date-parts":[["2013",10,29]]}}}],"schema":"https://github.com/citation-style-language/schema/raw/master/csl-citation.json"} </w:instrText>
      </w:r>
      <w:r w:rsidR="00A042FF">
        <w:fldChar w:fldCharType="separate"/>
      </w:r>
      <w:r w:rsidRPr="00EC1A7C">
        <w:t>(Aldous, 2013)</w:t>
      </w:r>
      <w:r w:rsidR="00A042FF">
        <w:fldChar w:fldCharType="end"/>
      </w:r>
      <w:r>
        <w:t xml:space="preserve">. The non-diagonal elements are defined in terms of their meeting rates, </w:t>
      </w:r>
      <w:proofErr w:type="spellStart"/>
      <w:r>
        <w:rPr>
          <w:i/>
        </w:rPr>
        <w:t>ν</w:t>
      </w:r>
      <w:r>
        <w:rPr>
          <w:i/>
          <w:vertAlign w:val="subscript"/>
        </w:rPr>
        <w:t>ij</w:t>
      </w:r>
      <w:proofErr w:type="spellEnd"/>
      <w:r>
        <w:rPr>
          <w:i/>
        </w:rPr>
        <w:t xml:space="preserve"> ≥ </w:t>
      </w:r>
      <w:r>
        <w:t xml:space="preserve">0. In order to use the same techniques used to characterize Markov chains, </w:t>
      </w:r>
      <w:r>
        <w:rPr>
          <w:rFonts w:ascii="Cambria Math" w:hAnsi="Cambria Math" w:cs="Cambria Math"/>
        </w:rPr>
        <w:t>𝒩</w:t>
      </w:r>
      <w:r>
        <w:t xml:space="preserve"> is assumed to be a stochastic matrix, with normalized rates of interaction, so that:</w:t>
      </w:r>
    </w:p>
    <w:p w:rsidR="000B48A4" w:rsidRDefault="000B48A4" w:rsidP="000B48A4">
      <w:pPr>
        <w:pStyle w:val="MTDisplayEquation"/>
      </w:pPr>
      <w:r>
        <w:tab/>
      </w:r>
      <w:r w:rsidRPr="003B40F6">
        <w:rPr>
          <w:position w:val="-30"/>
        </w:rPr>
        <w:object w:dxaOrig="138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28.2pt" o:ole="">
            <v:imagedata r:id="rId5" o:title=""/>
          </v:shape>
          <o:OLEObject Type="Embed" ProgID="Equation.DSMT4" ShapeID="_x0000_i1025" DrawAspect="Content" ObjectID="_1452396582" r:id="rId6"/>
        </w:object>
      </w:r>
      <w:r>
        <w:t xml:space="preserve"> for all </w:t>
      </w:r>
      <w:proofErr w:type="spellStart"/>
      <w:r>
        <w:rPr>
          <w:i/>
        </w:rPr>
        <w:t>i</w:t>
      </w:r>
      <w:proofErr w:type="spellEnd"/>
      <w:r>
        <w:t xml:space="preserve">. </w:t>
      </w:r>
    </w:p>
    <w:p w:rsidR="000B48A4" w:rsidRPr="00EC1A7C" w:rsidRDefault="000B48A4" w:rsidP="000B48A4">
      <w:r>
        <w:t>Note that, while Aldous defines the diagonal elements equal to zero as part of the structure of his problem, this is not part of the definition of a stochastic matrix.</w:t>
      </w:r>
    </w:p>
    <w:p w:rsidR="000B48A4" w:rsidRDefault="000B48A4" w:rsidP="000B48A4">
      <w:r>
        <w:rPr>
          <w:rFonts w:ascii="Cambria Math" w:hAnsi="Cambria Math" w:cs="Cambria Math"/>
        </w:rPr>
        <w:t>𝒩</w:t>
      </w:r>
      <w:r>
        <w:t xml:space="preserve"> also defines a geometric substructure for the interactions. It can take on any form, but Aldous limits his analysis to the most common form. Here I consider only his first topology, which he terms the complete graph or mean field model. In this case, every node or agent has an equal likelihood of interacting with every other. Thus, </w:t>
      </w:r>
      <w:r>
        <w:rPr>
          <w:rFonts w:ascii="Cambria Math" w:hAnsi="Cambria Math" w:cs="Cambria Math"/>
        </w:rPr>
        <w:t>𝒩</w:t>
      </w:r>
      <w:r>
        <w:t xml:space="preserve"> is defined by:</w:t>
      </w:r>
    </w:p>
    <w:p w:rsidR="000B48A4" w:rsidRDefault="000B48A4" w:rsidP="000B48A4">
      <w:pPr>
        <w:pStyle w:val="MTDisplayEquation"/>
      </w:pPr>
      <w:r>
        <w:tab/>
      </w:r>
      <w:r w:rsidRPr="00C80288">
        <w:rPr>
          <w:position w:val="-14"/>
        </w:rPr>
        <w:object w:dxaOrig="1980" w:dyaOrig="380">
          <v:shape id="_x0000_i1026" type="#_x0000_t75" style="width:99pt;height:18.6pt" o:ole="">
            <v:imagedata r:id="rId7" o:title=""/>
          </v:shape>
          <o:OLEObject Type="Embed" ProgID="Equation.DSMT4" ShapeID="_x0000_i1026" DrawAspect="Content" ObjectID="_1452396583" r:id="rId8"/>
        </w:object>
      </w:r>
      <w:r>
        <w:t xml:space="preserve"> </w:t>
      </w:r>
    </w:p>
    <w:p w:rsidR="000B48A4" w:rsidRPr="00C80288" w:rsidRDefault="000B48A4" w:rsidP="000B48A4">
      <w:r>
        <w:t xml:space="preserve">Aldous also considers other, more complicated topologies including small worlds or random graphs, but my analysis is limited to this straightforward case. </w:t>
      </w:r>
    </w:p>
    <w:p w:rsidR="000B48A4" w:rsidRDefault="000B48A4" w:rsidP="000B48A4">
      <w:r>
        <w:t xml:space="preserve">First consider an explicit description of how continuous time Markov chains are expressed mathematically.  The objective is to define a method for stating the Markov chain transition probability matrix for a continuous-time Markov chain. Starting with an analogy that the eigenvalues of an invertible square matrix </w:t>
      </w:r>
      <w:r>
        <w:rPr>
          <w:i/>
        </w:rPr>
        <w:t>A</w:t>
      </w:r>
      <w:r>
        <w:t xml:space="preserve"> are those values of </w:t>
      </w:r>
      <w:proofErr w:type="spellStart"/>
      <w:r w:rsidRPr="00EC1A7C">
        <w:rPr>
          <w:i/>
        </w:rPr>
        <w:t>λ</w:t>
      </w:r>
      <w:r>
        <w:rPr>
          <w:vertAlign w:val="subscript"/>
        </w:rPr>
        <w:t>i</w:t>
      </w:r>
      <w:proofErr w:type="spellEnd"/>
      <w:r>
        <w:t xml:space="preserve"> that solve the equation: </w:t>
      </w:r>
      <w:r w:rsidRPr="00157E95">
        <w:rPr>
          <w:position w:val="-12"/>
        </w:rPr>
        <w:object w:dxaOrig="980" w:dyaOrig="360">
          <v:shape id="_x0000_i1027" type="#_x0000_t75" style="width:49.2pt;height:18pt" o:ole="">
            <v:imagedata r:id="rId9" o:title=""/>
          </v:shape>
          <o:OLEObject Type="Embed" ProgID="Equation.DSMT4" ShapeID="_x0000_i1027" DrawAspect="Content" ObjectID="_1452396584" r:id="rId10"/>
        </w:object>
      </w:r>
      <w:r>
        <w:t xml:space="preserve"> where </w:t>
      </w:r>
      <w:r>
        <w:rPr>
          <w:i/>
        </w:rPr>
        <w:t>v</w:t>
      </w:r>
      <w:r>
        <w:rPr>
          <w:vertAlign w:val="subscript"/>
        </w:rPr>
        <w:t>i</w:t>
      </w:r>
      <w:r>
        <w:rPr>
          <w:i/>
        </w:rPr>
        <w:t xml:space="preserve"> </w:t>
      </w:r>
      <w:r>
        <w:t xml:space="preserve">= the associated eigenvector. Now, consider a Markov transition process (and associated probability matrix) in which the system operates in </w:t>
      </w:r>
      <w:r>
        <w:lastRenderedPageBreak/>
        <w:t xml:space="preserve">continuous time (but still with a finite, countable state space). Thus, the transition matrix would not be a matrix of discrete probabilities – the probabilities of moving from one state to another in one time step. It would, rather, be a continuous function of time, </w:t>
      </w:r>
      <w:r>
        <w:rPr>
          <w:i/>
        </w:rPr>
        <w:t xml:space="preserve">P(t) </w:t>
      </w:r>
      <w:r>
        <w:t xml:space="preserve">such that the probability the system is in state </w:t>
      </w:r>
      <w:r>
        <w:rPr>
          <w:i/>
        </w:rPr>
        <w:t xml:space="preserve">j </w:t>
      </w:r>
      <w:r>
        <w:t xml:space="preserve">after time </w:t>
      </w:r>
      <w:r>
        <w:rPr>
          <w:i/>
        </w:rPr>
        <w:t>t</w:t>
      </w:r>
      <w:r>
        <w:t xml:space="preserve">, given that it is in state </w:t>
      </w:r>
      <w:proofErr w:type="spellStart"/>
      <w:r>
        <w:rPr>
          <w:i/>
        </w:rPr>
        <w:t>i</w:t>
      </w:r>
      <w:proofErr w:type="spellEnd"/>
      <w:r>
        <w:rPr>
          <w:i/>
        </w:rPr>
        <w:t xml:space="preserve"> </w:t>
      </w:r>
      <w:r>
        <w:t xml:space="preserve">at time 0, is </w:t>
      </w:r>
      <w:proofErr w:type="spellStart"/>
      <w:r>
        <w:rPr>
          <w:i/>
        </w:rPr>
        <w:t>p</w:t>
      </w:r>
      <w:r>
        <w:rPr>
          <w:i/>
          <w:vertAlign w:val="subscript"/>
        </w:rPr>
        <w:t>ij</w:t>
      </w:r>
      <w:proofErr w:type="spellEnd"/>
      <w:r>
        <w:t>(</w:t>
      </w:r>
      <w:r>
        <w:rPr>
          <w:i/>
        </w:rPr>
        <w:t>t</w:t>
      </w:r>
      <w:r>
        <w:t xml:space="preserve">). </w:t>
      </w:r>
    </w:p>
    <w:p w:rsidR="000B48A4" w:rsidRDefault="000B48A4" w:rsidP="000B48A4">
      <w:r>
        <w:t xml:space="preserve">In order to analyze </w:t>
      </w:r>
      <w:r w:rsidRPr="00B03177">
        <w:rPr>
          <w:i/>
        </w:rPr>
        <w:t>P</w:t>
      </w:r>
      <w:r>
        <w:t>(</w:t>
      </w:r>
      <w:r w:rsidRPr="00B03177">
        <w:rPr>
          <w:i/>
        </w:rPr>
        <w:t>t</w:t>
      </w:r>
      <w:r>
        <w:t xml:space="preserve">), a matrix </w:t>
      </w:r>
      <w:r w:rsidRPr="00B03177">
        <w:rPr>
          <w:i/>
        </w:rPr>
        <w:t>Q</w:t>
      </w:r>
      <w:r>
        <w:t xml:space="preserve"> is defined such that </w:t>
      </w:r>
      <w:r w:rsidRPr="00826003">
        <w:rPr>
          <w:position w:val="-10"/>
        </w:rPr>
        <w:object w:dxaOrig="999" w:dyaOrig="360">
          <v:shape id="_x0000_i1028" type="#_x0000_t75" style="width:49.8pt;height:18pt" o:ole="">
            <v:imagedata r:id="rId11" o:title=""/>
          </v:shape>
          <o:OLEObject Type="Embed" ProgID="Equation.DSMT4" ShapeID="_x0000_i1028" DrawAspect="Content" ObjectID="_1452396585" r:id="rId12"/>
        </w:object>
      </w:r>
      <w:r>
        <w:t xml:space="preserve"> . This notation, raising a matrix to a power, is a shorthand for an infinite series on the exponential of </w:t>
      </w:r>
      <w:r>
        <w:rPr>
          <w:i/>
        </w:rPr>
        <w:t xml:space="preserve">Q </w:t>
      </w:r>
      <w:r>
        <w:t>that is analogous to Euler’s formula:</w:t>
      </w:r>
    </w:p>
    <w:p w:rsidR="000B48A4" w:rsidRDefault="000B48A4" w:rsidP="000B48A4">
      <w:pPr>
        <w:pStyle w:val="MTDisplayEquation"/>
      </w:pPr>
      <w:r>
        <w:tab/>
      </w:r>
      <w:r w:rsidRPr="00991015">
        <w:rPr>
          <w:position w:val="-32"/>
        </w:rPr>
        <w:object w:dxaOrig="1740" w:dyaOrig="760">
          <v:shape id="_x0000_i1029" type="#_x0000_t75" style="width:87pt;height:38.4pt" o:ole="">
            <v:imagedata r:id="rId13" o:title=""/>
          </v:shape>
          <o:OLEObject Type="Embed" ProgID="Equation.DSMT4" ShapeID="_x0000_i1029" DrawAspect="Content" ObjectID="_1452396586" r:id="rId14"/>
        </w:object>
      </w:r>
      <w:r>
        <w:t xml:space="preserve"> </w:t>
      </w:r>
    </w:p>
    <w:p w:rsidR="000B48A4" w:rsidRDefault="000B48A4" w:rsidP="000B48A4">
      <w:r>
        <w:t>We also know the following:</w:t>
      </w:r>
    </w:p>
    <w:p w:rsidR="000B48A4" w:rsidRPr="00826003" w:rsidRDefault="000B48A4" w:rsidP="000B48A4">
      <w:pPr>
        <w:pStyle w:val="MTDisplayEquation"/>
      </w:pPr>
      <w:r>
        <w:tab/>
      </w:r>
      <w:r w:rsidRPr="00991015">
        <w:rPr>
          <w:position w:val="-10"/>
        </w:rPr>
        <w:object w:dxaOrig="1640" w:dyaOrig="360">
          <v:shape id="_x0000_i1030" type="#_x0000_t75" style="width:82.2pt;height:18pt" o:ole="">
            <v:imagedata r:id="rId15" o:title=""/>
          </v:shape>
          <o:OLEObject Type="Embed" ProgID="Equation.DSMT4" ShapeID="_x0000_i1030" DrawAspect="Content" ObjectID="_1452396587" r:id="rId16"/>
        </w:object>
      </w:r>
      <w:r>
        <w:t xml:space="preserve"> </w:t>
      </w:r>
    </w:p>
    <w:p w:rsidR="000B48A4" w:rsidRDefault="000B48A4" w:rsidP="000B48A4">
      <w:r>
        <w:t xml:space="preserve">and </w:t>
      </w:r>
    </w:p>
    <w:p w:rsidR="000B48A4" w:rsidRDefault="000B48A4" w:rsidP="000B48A4">
      <w:pPr>
        <w:pStyle w:val="MTDisplayEquation"/>
      </w:pPr>
      <w:r>
        <w:tab/>
      </w:r>
      <w:r w:rsidRPr="00991015">
        <w:rPr>
          <w:position w:val="-24"/>
        </w:rPr>
        <w:object w:dxaOrig="1579" w:dyaOrig="620">
          <v:shape id="_x0000_i1031" type="#_x0000_t75" style="width:78.6pt;height:31.2pt" o:ole="">
            <v:imagedata r:id="rId17" o:title=""/>
          </v:shape>
          <o:OLEObject Type="Embed" ProgID="Equation.DSMT4" ShapeID="_x0000_i1031" DrawAspect="Content" ObjectID="_1452396588" r:id="rId18"/>
        </w:object>
      </w:r>
      <w:r>
        <w:t xml:space="preserve"> </w:t>
      </w:r>
      <w:r>
        <w:tab/>
      </w:r>
      <w:r w:rsidR="00A042FF">
        <w:fldChar w:fldCharType="begin"/>
      </w:r>
      <w:r>
        <w:instrText xml:space="preserve"> MACROBUTTON MTPlaceRef \* MERGEFORMAT </w:instrText>
      </w:r>
      <w:r w:rsidR="00A042FF">
        <w:fldChar w:fldCharType="begin"/>
      </w:r>
      <w:r>
        <w:instrText xml:space="preserve"> SEQ MTEqn \h \* MERGEFORMAT </w:instrText>
      </w:r>
      <w:r w:rsidR="00A042FF">
        <w:fldChar w:fldCharType="end"/>
      </w:r>
      <w:r>
        <w:instrText>(</w:instrText>
      </w:r>
      <w:fldSimple w:instr=" SEQ MTEqn \c \* Arabic \* MERGEFORMAT ">
        <w:r>
          <w:rPr>
            <w:noProof/>
          </w:rPr>
          <w:instrText>4</w:instrText>
        </w:r>
      </w:fldSimple>
      <w:r>
        <w:instrText>)</w:instrText>
      </w:r>
      <w:r w:rsidR="00A042FF">
        <w:fldChar w:fldCharType="end"/>
      </w:r>
    </w:p>
    <w:p w:rsidR="000B48A4" w:rsidRDefault="000B48A4" w:rsidP="000B48A4">
      <w:pPr>
        <w:pStyle w:val="MTDisplayEquation"/>
      </w:pPr>
      <w:r>
        <w:t xml:space="preserve">So, the </w:t>
      </w:r>
      <w:r>
        <w:rPr>
          <w:i/>
        </w:rPr>
        <w:t>Q</w:t>
      </w:r>
      <w:r>
        <w:t>-matrix for a complete graph pattern, in which an agent has equal probability of interacting with each of its partners, is given by:</w:t>
      </w:r>
    </w:p>
    <w:p w:rsidR="000B48A4" w:rsidRDefault="000B48A4" w:rsidP="000B48A4">
      <w:pPr>
        <w:pStyle w:val="MTDisplayEquation"/>
      </w:pPr>
      <w:r>
        <w:tab/>
      </w:r>
      <w:r w:rsidRPr="00445B73">
        <w:rPr>
          <w:position w:val="-92"/>
        </w:rPr>
        <w:object w:dxaOrig="3320" w:dyaOrig="1960">
          <v:shape id="_x0000_i1032" type="#_x0000_t75" style="width:166.2pt;height:97.8pt" o:ole="">
            <v:imagedata r:id="rId19" o:title=""/>
          </v:shape>
          <o:OLEObject Type="Embed" ProgID="Equation.DSMT4" ShapeID="_x0000_i1032" DrawAspect="Content" ObjectID="_1452396589" r:id="rId20"/>
        </w:object>
      </w:r>
      <w:r>
        <w:t xml:space="preserve"> </w:t>
      </w:r>
    </w:p>
    <w:p w:rsidR="000B48A4" w:rsidRPr="000677FC" w:rsidRDefault="000B48A4" w:rsidP="000B48A4">
      <w:pPr>
        <w:pStyle w:val="MTDisplayEquation"/>
      </w:pPr>
      <w:r>
        <w:t xml:space="preserve">  Solving for the eigenvalues of this matrix are 0 and </w:t>
      </w:r>
      <w:r w:rsidRPr="00445B73">
        <w:rPr>
          <w:position w:val="-20"/>
        </w:rPr>
        <w:object w:dxaOrig="1020" w:dyaOrig="520">
          <v:shape id="_x0000_i1033" type="#_x0000_t75" style="width:51pt;height:26.4pt" o:ole="">
            <v:imagedata r:id="rId21" o:title=""/>
          </v:shape>
          <o:OLEObject Type="Embed" ProgID="Equation.DSMT4" ShapeID="_x0000_i1033" DrawAspect="Content" ObjectID="_1452396590" r:id="rId22"/>
        </w:object>
      </w:r>
      <w:r>
        <w:t xml:space="preserve"> . It is important to note that the non-zero eigenvalues approach unity as </w:t>
      </w:r>
      <w:r>
        <w:rPr>
          <w:i/>
        </w:rPr>
        <w:t>n</w:t>
      </w:r>
      <w:r>
        <w:t xml:space="preserve"> becomes large. </w:t>
      </w:r>
    </w:p>
    <w:p w:rsidR="000B48A4" w:rsidRDefault="000B48A4" w:rsidP="000B48A4">
      <w:r>
        <w:t xml:space="preserve">This exposition is important for follow-on analysis. The Markov chain generating matrix, </w:t>
      </w:r>
      <w:r>
        <w:rPr>
          <w:i/>
        </w:rPr>
        <w:t>Q</w:t>
      </w:r>
      <w:r>
        <w:t xml:space="preserve">, can be interpreted as a rate-flow matrix in a continuous time Markov chain. It is also the matrix that generates the Markov chain transition matrix, </w:t>
      </w:r>
      <w:r>
        <w:rPr>
          <w:i/>
        </w:rPr>
        <w:t>P</w:t>
      </w:r>
      <w:r>
        <w:t xml:space="preserve">. Note that, while </w:t>
      </w:r>
      <w:r>
        <w:rPr>
          <w:i/>
        </w:rPr>
        <w:t xml:space="preserve">P </w:t>
      </w:r>
      <w:r>
        <w:t xml:space="preserve">is a stochastic matrix, </w:t>
      </w:r>
      <w:r>
        <w:rPr>
          <w:i/>
        </w:rPr>
        <w:t xml:space="preserve">Q </w:t>
      </w:r>
      <w:r>
        <w:t xml:space="preserve">is not. </w:t>
      </w:r>
      <w:r w:rsidR="00A042FF">
        <w:fldChar w:fldCharType="begin"/>
      </w:r>
      <w:r>
        <w:instrText xml:space="preserve"> ADDIN ZOTERO_ITEM CSL_CITATION {"citationID":"3atHep9X","properties":{"formattedCitation":"(Norris, 1998, p. 64)","plainCitation":"(Norris, 1998, p. 64)"},"citationItems":[{"id":573,"uris":["http://zotero.org/users/1171527/items/Q9BMC3K4"],"uri":["http://zotero.org/users/1171527/items/Q9BMC3K4"],"itemData":{"id":573,"type":"book","title":"Markov Chains","publisher":"Cambridge University Press","number-of-pages":"262","source":"Google Books","abstract":"In this rigorous account the author studies both discrete-time and continuous-time chains. A distinguishing feature is an introduction to more advanced topics such as martingales and potentials, in the established context of Markov chains. There are applications to simulation, economics, optimal control, genetics, queues and many other topics, and a careful selection of exercises and examples drawn both from theory and practice. This is an ideal text for seminars on random processes or for those that are more oriented towards applications, for advanced undergraduates or graduate students with some background in basic probability theory.","ISBN":"9780521633963","language":"en","author":[{"family":"Norris","given":"J. R."}],"issued":{"date-parts":[["1998",7,28]]}},"locator":"64","label":"page"}],"schema":"https://github.com/citation-style-language/schema/raw/master/csl-citation.json"} </w:instrText>
      </w:r>
      <w:r w:rsidR="00A042FF">
        <w:fldChar w:fldCharType="separate"/>
      </w:r>
      <w:r w:rsidRPr="00383119">
        <w:t>(Norris, 1998, p. 64)</w:t>
      </w:r>
      <w:r w:rsidR="00A042FF">
        <w:fldChar w:fldCharType="end"/>
      </w:r>
    </w:p>
    <w:p w:rsidR="000B48A4" w:rsidRDefault="000B48A4" w:rsidP="001B5A90">
      <w:pPr>
        <w:pStyle w:val="Heading2"/>
      </w:pPr>
      <w:r>
        <w:t>The “Leveler Model” – Theoretical Development</w:t>
      </w:r>
    </w:p>
    <w:p w:rsidR="000B48A4" w:rsidRPr="00383119" w:rsidRDefault="000B48A4" w:rsidP="000B48A4">
      <w:r>
        <w:t xml:space="preserve">Aldous used the structure of continuous-time Markov chains to complete his understanding of convergence in a social problem he deemed the “averaging process” </w:t>
      </w:r>
      <w:r w:rsidR="00A042FF">
        <w:fldChar w:fldCharType="begin"/>
      </w:r>
      <w:r>
        <w:instrText xml:space="preserve"> ADDIN ZOTERO_ITEM CSL_CITATION {"citationID":"Arvlo58Y","properties":{"formattedCitation":"(Aldous &amp; Lanoue, 2012)","plainCitation":"(Aldous &amp; Lanoue, 2012)"},"citationItems":[{"id":524,"uris":["http://zotero.org/users/1171527/items/ACNB8MPS"],"uri":["http://zotero.org/users/1171527/items/ACNB8MPS"],"itemData":{"id":524,"type":"article-journal","title":"Interacting Particle Systems as Stochastic Social Dynamics","container-title":"Probability Surveys","page":"90–102","volume":"9","source":"Google Scholar","author":[{"family":"Aldous","given":"David"},{"family":"Lanoue","given":"Daniel"}],"issued":{"date-parts":[["2012"]]},"accessed":{"date-parts":[["2013",9,7]]}}}],"schema":"https://github.com/citation-style-language/schema/raw/master/csl-citation.json"} </w:instrText>
      </w:r>
      <w:r w:rsidR="00A042FF">
        <w:fldChar w:fldCharType="separate"/>
      </w:r>
      <w:r w:rsidRPr="00383119">
        <w:t>(Aldous &amp; Lanoue, 2012)</w:t>
      </w:r>
      <w:r w:rsidR="00A042FF">
        <w:fldChar w:fldCharType="end"/>
      </w:r>
      <w:r>
        <w:t xml:space="preserve"> or the “</w:t>
      </w:r>
      <w:proofErr w:type="spellStart"/>
      <w:r>
        <w:t>Leveller</w:t>
      </w:r>
      <w:proofErr w:type="spellEnd"/>
      <w:r>
        <w:t xml:space="preserve">” problem </w:t>
      </w:r>
      <w:r w:rsidR="00A042FF">
        <w:fldChar w:fldCharType="begin"/>
      </w:r>
      <w:r>
        <w:instrText xml:space="preserve"> ADDIN ZOTERO_ITEM CSL_CITATION {"citationID":"2zKl5m1V","properties":{"formattedCitation":"(Aldous, 2013)","plainCitation":"(Aldous, 2013)"},"citationItems":[{"id":571,"uris":["http://zotero.org/users/1171527/items/7MMK6QG5"],"uri":["http://zotero.org/users/1171527/items/7MMK6QG5"],"itemData":{"id":571,"type":"speech","title":"IPS as Stochastic Social Dynamics - PowerPoint.pdf","abstract":"Analogy: game theory not about “games\" (baseball, chess, . . . ) but about a particular setup (players choose actions separately, get payouts) which is useful in other contexts (Google ads). \nAnalogously, my nominal topic is \\ow of information through networks\", but I'm going to specify a particular setup. Thousands of papers over the last ten years, in fields such as statistical physics; epidemic theory; broadcast algorithms on graphs; ad hoc networks; social learning theory, can be fitted into this setup. But it doesn't have a standard name -- there exist names like “interacting particle systems\" or “social dynamics\" but these have rather fuzzy boundaries. The best name I can invent is Finite Markov Information-Exchange (FMIE) Processes.","URL":"http://www.stat.berkeley.edu/~aldous/Talks/FMIE_talk_2.pdf","author":[{"family":"Aldous","given":"David"}],"issued":{"date-parts":[["2013",4,5]]},"accessed":{"date-parts":[["2013",10,29]]}}}],"schema":"https://github.com/citation-style-language/schema/raw/master/csl-citation.json"} </w:instrText>
      </w:r>
      <w:r w:rsidR="00A042FF">
        <w:fldChar w:fldCharType="separate"/>
      </w:r>
      <w:r w:rsidRPr="00383119">
        <w:t>(Aldous, 2013)</w:t>
      </w:r>
      <w:r w:rsidR="00A042FF">
        <w:fldChar w:fldCharType="end"/>
      </w:r>
      <w:r>
        <w:t>.</w:t>
      </w:r>
    </w:p>
    <w:p w:rsidR="000B48A4" w:rsidRDefault="000B48A4" w:rsidP="000B48A4">
      <w:r>
        <w:t xml:space="preserve">In Leveler, each member the population is endowed with an account of ‘wealth’, which normally begins as differentiated. At each meeting, the two interacting agents reset their individual wealth to the average of their two accounts. Clearly, over time, the population will converge to the point where every agent has the same wealth, especially if all </w:t>
      </w:r>
      <w:proofErr w:type="spellStart"/>
      <w:r>
        <w:rPr>
          <w:i/>
        </w:rPr>
        <w:t>v</w:t>
      </w:r>
      <w:r>
        <w:rPr>
          <w:i/>
          <w:vertAlign w:val="subscript"/>
        </w:rPr>
        <w:t>ij</w:t>
      </w:r>
      <w:proofErr w:type="spellEnd"/>
      <w:r>
        <w:rPr>
          <w:i/>
        </w:rPr>
        <w:t xml:space="preserve"> </w:t>
      </w:r>
      <w:r>
        <w:t xml:space="preserve">&gt; 0 if </w:t>
      </w:r>
      <w:proofErr w:type="spellStart"/>
      <w:r>
        <w:rPr>
          <w:i/>
        </w:rPr>
        <w:t>i</w:t>
      </w:r>
      <w:proofErr w:type="spellEnd"/>
      <w:r>
        <w:rPr>
          <w:i/>
        </w:rPr>
        <w:t xml:space="preserve"> </w:t>
      </w:r>
      <w:r>
        <w:t xml:space="preserve">≠ </w:t>
      </w:r>
      <w:r>
        <w:rPr>
          <w:i/>
        </w:rPr>
        <w:t xml:space="preserve">j. </w:t>
      </w:r>
      <w:r>
        <w:t xml:space="preserve">In fact, the population will converge to the average wealth in any case where all states communicate in the Markov Chain transition matrix. Additionally, with this rule all wealth in the system will remain constant, as will the mean wealth. </w:t>
      </w:r>
    </w:p>
    <w:p w:rsidR="000B48A4" w:rsidRDefault="000B48A4" w:rsidP="000B48A4">
      <w:r>
        <w:t xml:space="preserve">This leads to a theoretical result in which, given an unchanging meeting matrix, </w:t>
      </w:r>
      <w:r>
        <w:rPr>
          <w:rFonts w:ascii="Cambria Math" w:hAnsi="Cambria Math" w:cs="Cambria Math"/>
        </w:rPr>
        <w:t>𝒩</w:t>
      </w:r>
      <w:r>
        <w:t xml:space="preserve">, the population’s convergence – measured as the decay of the standard deviation of wealth to zero – is defined by the Markov chain processes. To begin, Aldous rewrites the definition of </w:t>
      </w:r>
      <w:r>
        <w:rPr>
          <w:rFonts w:ascii="Cambria Math" w:hAnsi="Cambria Math" w:cs="Cambria Math"/>
        </w:rPr>
        <w:t>𝒩</w:t>
      </w:r>
      <w:r>
        <w:t xml:space="preserve"> such that it is a matrix of transformation </w:t>
      </w:r>
      <w:r>
        <w:rPr>
          <w:i/>
        </w:rPr>
        <w:t xml:space="preserve">rates </w:t>
      </w:r>
      <w:r>
        <w:t xml:space="preserve">in which the rows sum to zero. Thus, he revises the definition, defining the transition rate from </w:t>
      </w:r>
      <w:proofErr w:type="spellStart"/>
      <w:r>
        <w:rPr>
          <w:i/>
        </w:rPr>
        <w:t>i</w:t>
      </w:r>
      <w:proofErr w:type="spellEnd"/>
      <w:r>
        <w:rPr>
          <w:i/>
        </w:rPr>
        <w:t xml:space="preserve"> </w:t>
      </w:r>
      <w:r>
        <w:t xml:space="preserve">to </w:t>
      </w:r>
      <w:r>
        <w:rPr>
          <w:i/>
        </w:rPr>
        <w:t>j</w:t>
      </w:r>
      <w:r>
        <w:t xml:space="preserve"> as ν</w:t>
      </w:r>
      <w:r>
        <w:rPr>
          <w:vertAlign w:val="subscript"/>
        </w:rPr>
        <w:t>(</w:t>
      </w:r>
      <w:proofErr w:type="spellStart"/>
      <w:r>
        <w:rPr>
          <w:i/>
          <w:vertAlign w:val="subscript"/>
        </w:rPr>
        <w:t>i,j</w:t>
      </w:r>
      <w:proofErr w:type="spellEnd"/>
      <w:r>
        <w:rPr>
          <w:vertAlign w:val="subscript"/>
        </w:rPr>
        <w:t>)</w:t>
      </w:r>
      <w:r>
        <w:t>. From this, he establishes the matrix as:</w:t>
      </w:r>
    </w:p>
    <w:p w:rsidR="000B48A4" w:rsidRDefault="000B48A4" w:rsidP="000B48A4">
      <w:pPr>
        <w:pStyle w:val="MTDisplayEquation"/>
      </w:pPr>
      <w:r>
        <w:tab/>
      </w:r>
      <w:r w:rsidRPr="00D42AB3">
        <w:rPr>
          <w:position w:val="-30"/>
        </w:rPr>
        <w:object w:dxaOrig="2760" w:dyaOrig="560">
          <v:shape id="_x0000_i1034" type="#_x0000_t75" style="width:138pt;height:28.2pt" o:ole="">
            <v:imagedata r:id="rId23" o:title=""/>
          </v:shape>
          <o:OLEObject Type="Embed" ProgID="Equation.DSMT4" ShapeID="_x0000_i1034" DrawAspect="Content" ObjectID="_1452396591" r:id="rId24"/>
        </w:object>
      </w:r>
      <w:r>
        <w:t xml:space="preserve"> </w:t>
      </w:r>
      <w:r>
        <w:tab/>
      </w:r>
      <w:r w:rsidR="00A042FF">
        <w:fldChar w:fldCharType="begin"/>
      </w:r>
      <w:r>
        <w:instrText xml:space="preserve"> MACROBUTTON MTPlaceRef \* MERGEFORMAT </w:instrText>
      </w:r>
      <w:r w:rsidR="00A042FF">
        <w:fldChar w:fldCharType="begin"/>
      </w:r>
      <w:r>
        <w:instrText xml:space="preserve"> SEQ MTEqn \h \* MERGEFORMAT </w:instrText>
      </w:r>
      <w:r w:rsidR="00A042FF">
        <w:fldChar w:fldCharType="end"/>
      </w:r>
      <w:r>
        <w:instrText>(</w:instrText>
      </w:r>
      <w:fldSimple w:instr=" SEQ MTEqn \c \* Arabic \* MERGEFORMAT ">
        <w:r>
          <w:rPr>
            <w:noProof/>
          </w:rPr>
          <w:instrText>5</w:instrText>
        </w:r>
      </w:fldSimple>
      <w:r>
        <w:instrText>)</w:instrText>
      </w:r>
      <w:r w:rsidR="00A042FF">
        <w:fldChar w:fldCharType="end"/>
      </w:r>
    </w:p>
    <w:p w:rsidR="000B48A4" w:rsidRDefault="000B48A4" w:rsidP="000B48A4">
      <w:r>
        <w:t xml:space="preserve">This is, of course, no longer a stochastic matrix. In fact, from the theoretical development of Markov chain analysis, this is equivalent to the generating matrix, </w:t>
      </w:r>
      <w:r>
        <w:rPr>
          <w:i/>
        </w:rPr>
        <w:t>Q</w:t>
      </w:r>
      <w:r>
        <w:t xml:space="preserve"> </w:t>
      </w:r>
      <w:r w:rsidR="00A042FF">
        <w:fldChar w:fldCharType="begin"/>
      </w:r>
      <w:r>
        <w:instrText xml:space="preserve"> ADDIN ZOTERO_ITEM CSL_CITATION {"citationID":"MNEFE8UO","properties":{"formattedCitation":"(Norris, 1998)","plainCitation":"(Norris, 1998)"},"citationItems":[{"id":573,"uris":["http://zotero.org/users/1171527/items/Q9BMC3K4"],"uri":["http://zotero.org/users/1171527/items/Q9BMC3K4"],"itemData":{"id":573,"type":"book","title":"Markov Chains","publisher":"Cambridge University Press","number-of-pages":"262","source":"Google Books","abstract":"In this rigorous account the author studies both discrete-time and continuous-time chains. A distinguishing feature is an introduction to more advanced topics such as martingales and potentials, in the established context of Markov chains. There are applications to simulation, economics, optimal control, genetics, queues and many other topics, and a careful selection of exercises and examples drawn both from theory and practice. This is an ideal text for seminars on random processes or for those that are more oriented towards applications, for advanced undergraduates or graduate students with some background in basic probability theory.","ISBN":"9780521633963","language":"en","author":[{"family":"Norris","given":"J. R."}],"issued":{"date-parts":[["1998",7,28]]}}}],"schema":"https://github.com/citation-style-language/schema/raw/master/csl-citation.json"} </w:instrText>
      </w:r>
      <w:r w:rsidR="00A042FF">
        <w:fldChar w:fldCharType="separate"/>
      </w:r>
      <w:r w:rsidRPr="00D322B7">
        <w:t>(Norris, 1998)</w:t>
      </w:r>
      <w:r w:rsidR="00A042FF">
        <w:fldChar w:fldCharType="end"/>
      </w:r>
      <w:r>
        <w:t xml:space="preserve">. Aldous goes on to develop a theory of convergence rates that depend upon this new </w:t>
      </w:r>
      <w:r>
        <w:rPr>
          <w:rFonts w:ascii="Cambria Math" w:hAnsi="Cambria Math" w:cs="Cambria Math"/>
        </w:rPr>
        <w:t>𝒩</w:t>
      </w:r>
      <w:r>
        <w:t xml:space="preserve">, which will be here denoted as </w:t>
      </w:r>
      <w:r>
        <w:rPr>
          <w:i/>
        </w:rPr>
        <w:t>Q</w:t>
      </w:r>
      <w:r>
        <w:t xml:space="preserve">. Aldous shows that the convergence rate (under all the previously stated conditions of stationary transition probabilities and finite, </w:t>
      </w:r>
      <w:r>
        <w:lastRenderedPageBreak/>
        <w:t xml:space="preserve">countable states), that, if the convergence is measured in terms of the standard deviation of wealth, it is bounded in its convergence to zero. </w:t>
      </w:r>
    </w:p>
    <w:p w:rsidR="000B48A4" w:rsidRDefault="000B48A4" w:rsidP="000B48A4">
      <w:pPr>
        <w:pStyle w:val="MTDisplayEquation"/>
      </w:pPr>
      <w:r>
        <w:t xml:space="preserve">The notation used in Aldous is a bit different from that used in normal statistical treatments. In his initial conditions, Aldous assumes that the average wealth is zero. This will mean, of course, that the average wealth at all times is zero as the Leveler process does not change the mean wealth. This simplifies </w:t>
      </w:r>
      <w:proofErr w:type="spellStart"/>
      <w:r>
        <w:t>Aldous’s</w:t>
      </w:r>
      <w:proofErr w:type="spellEnd"/>
      <w:r>
        <w:t xml:space="preserve"> mathematical notation to the more familiar statistical notation. Given a vector in which the mean value is 0, that is:</w:t>
      </w:r>
    </w:p>
    <w:p w:rsidR="000B48A4" w:rsidRDefault="000B48A4" w:rsidP="000B48A4">
      <w:pPr>
        <w:pStyle w:val="MTDisplayEquation"/>
      </w:pPr>
      <w:r>
        <w:tab/>
      </w:r>
      <w:r w:rsidRPr="00277A51">
        <w:rPr>
          <w:position w:val="-28"/>
        </w:rPr>
        <w:object w:dxaOrig="1100" w:dyaOrig="680">
          <v:shape id="_x0000_i1035" type="#_x0000_t75" style="width:54.6pt;height:33.6pt" o:ole="">
            <v:imagedata r:id="rId25" o:title=""/>
          </v:shape>
          <o:OLEObject Type="Embed" ProgID="Equation.DSMT4" ShapeID="_x0000_i1035" DrawAspect="Content" ObjectID="_1452396592" r:id="rId26"/>
        </w:object>
      </w:r>
      <w:r>
        <w:t xml:space="preserve"> </w:t>
      </w:r>
      <w:r>
        <w:tab/>
      </w:r>
      <w:r w:rsidR="00A042FF">
        <w:fldChar w:fldCharType="begin"/>
      </w:r>
      <w:r>
        <w:instrText xml:space="preserve"> MACROBUTTON MTPlaceRef \* MERGEFORMAT </w:instrText>
      </w:r>
      <w:r w:rsidR="00A042FF">
        <w:fldChar w:fldCharType="begin"/>
      </w:r>
      <w:r>
        <w:instrText xml:space="preserve"> SEQ MTEqn \h \* MERGEFORMAT </w:instrText>
      </w:r>
      <w:r w:rsidR="00A042FF">
        <w:fldChar w:fldCharType="end"/>
      </w:r>
      <w:r>
        <w:instrText>(</w:instrText>
      </w:r>
      <w:fldSimple w:instr=" SEQ MTEqn \c \* Arabic \* MERGEFORMAT ">
        <w:r>
          <w:rPr>
            <w:noProof/>
          </w:rPr>
          <w:instrText>6</w:instrText>
        </w:r>
      </w:fldSimple>
      <w:r>
        <w:instrText>)</w:instrText>
      </w:r>
      <w:r w:rsidR="00A042FF">
        <w:fldChar w:fldCharType="end"/>
      </w:r>
    </w:p>
    <w:p w:rsidR="000B48A4" w:rsidRDefault="000B48A4" w:rsidP="000B48A4">
      <w:pPr>
        <w:pStyle w:val="MTDisplayEquation"/>
      </w:pPr>
      <w:r>
        <w:t>Aldous defines the “norm”, which is equivalent to the standard deviation.</w:t>
      </w:r>
    </w:p>
    <w:p w:rsidR="000B48A4" w:rsidRPr="00DC3E68" w:rsidRDefault="000B48A4" w:rsidP="000B48A4">
      <w:pPr>
        <w:pStyle w:val="MTDisplayEquation"/>
      </w:pPr>
      <w:r>
        <w:tab/>
      </w:r>
      <w:r w:rsidRPr="00DC3E68">
        <w:rPr>
          <w:position w:val="-26"/>
        </w:rPr>
        <w:object w:dxaOrig="2200" w:dyaOrig="700">
          <v:shape id="_x0000_i1036" type="#_x0000_t75" style="width:124.8pt;height:39.6pt" o:ole="">
            <v:imagedata r:id="rId27" o:title=""/>
          </v:shape>
          <o:OLEObject Type="Embed" ProgID="Equation.DSMT4" ShapeID="_x0000_i1036" DrawAspect="Content" ObjectID="_1452396593" r:id="rId28"/>
        </w:object>
      </w:r>
      <w:r>
        <w:tab/>
        <w:t xml:space="preserve"> </w:t>
      </w:r>
      <w:r w:rsidR="00A042FF">
        <w:fldChar w:fldCharType="begin"/>
      </w:r>
      <w:r>
        <w:instrText xml:space="preserve"> MACROBUTTON MTPlaceRef \* MERGEFORMAT </w:instrText>
      </w:r>
      <w:r w:rsidR="00A042FF">
        <w:fldChar w:fldCharType="begin"/>
      </w:r>
      <w:r>
        <w:instrText xml:space="preserve"> SEQ MTEqn \h \* MERGEFORMAT </w:instrText>
      </w:r>
      <w:r w:rsidR="00A042FF">
        <w:fldChar w:fldCharType="end"/>
      </w:r>
      <w:r>
        <w:instrText>(</w:instrText>
      </w:r>
      <w:fldSimple w:instr=" SEQ MTEqn \c \* Arabic \* MERGEFORMAT ">
        <w:r>
          <w:rPr>
            <w:noProof/>
          </w:rPr>
          <w:instrText>7</w:instrText>
        </w:r>
      </w:fldSimple>
      <w:r>
        <w:instrText>)</w:instrText>
      </w:r>
      <w:r w:rsidR="00A042FF">
        <w:fldChar w:fldCharType="end"/>
      </w:r>
    </w:p>
    <w:p w:rsidR="000B48A4" w:rsidRPr="00D543C5" w:rsidRDefault="000B48A4" w:rsidP="000B48A4">
      <w:r>
        <w:t xml:space="preserve"> Thus, where </w:t>
      </w:r>
      <w:proofErr w:type="spellStart"/>
      <w:r w:rsidRPr="00D543C5">
        <w:rPr>
          <w:i/>
        </w:rPr>
        <w:t>σ</w:t>
      </w:r>
      <w:r w:rsidRPr="00D543C5">
        <w:rPr>
          <w:i/>
          <w:vertAlign w:val="subscript"/>
        </w:rPr>
        <w:t>w</w:t>
      </w:r>
      <w:proofErr w:type="spellEnd"/>
      <w:r>
        <w:t xml:space="preserve"> is the standard deviation of the wealth at time </w:t>
      </w:r>
      <w:r>
        <w:rPr>
          <w:i/>
        </w:rPr>
        <w:t xml:space="preserve">t </w:t>
      </w:r>
      <w:r>
        <w:t xml:space="preserve">and </w:t>
      </w:r>
      <w:r w:rsidRPr="00D543C5">
        <w:rPr>
          <w:i/>
        </w:rPr>
        <w:t>σ</w:t>
      </w:r>
      <w:r>
        <w:rPr>
          <w:vertAlign w:val="subscript"/>
        </w:rPr>
        <w:t xml:space="preserve">0 </w:t>
      </w:r>
      <w:r>
        <w:t xml:space="preserve">is the standard deviation of the wealth at time </w:t>
      </w:r>
      <w:r w:rsidRPr="000677FC">
        <w:rPr>
          <w:i/>
        </w:rPr>
        <w:t>t</w:t>
      </w:r>
      <w:r>
        <w:t xml:space="preserve"> = 0, Aldous shows that the convergence is determined by: </w:t>
      </w:r>
    </w:p>
    <w:p w:rsidR="000B48A4" w:rsidRDefault="000B48A4" w:rsidP="000B48A4">
      <w:pPr>
        <w:pStyle w:val="MTDisplayEquation"/>
      </w:pPr>
      <w:r>
        <w:tab/>
      </w:r>
    </w:p>
    <w:p w:rsidR="000B48A4" w:rsidRDefault="000B48A4" w:rsidP="000B48A4">
      <w:pPr>
        <w:pStyle w:val="MTDisplayEquation"/>
      </w:pPr>
      <w:r>
        <w:tab/>
      </w:r>
      <w:r w:rsidRPr="00344A7E">
        <w:rPr>
          <w:position w:val="-12"/>
        </w:rPr>
        <w:object w:dxaOrig="1840" w:dyaOrig="380">
          <v:shape id="_x0000_i1037" type="#_x0000_t75" style="width:117.6pt;height:24pt" o:ole="">
            <v:imagedata r:id="rId29" o:title=""/>
          </v:shape>
          <o:OLEObject Type="Embed" ProgID="Equation.DSMT4" ShapeID="_x0000_i1037" DrawAspect="Content" ObjectID="_1452396594" r:id="rId30"/>
        </w:object>
      </w:r>
      <w:r>
        <w:t xml:space="preserve"> </w:t>
      </w:r>
      <w:r>
        <w:tab/>
      </w:r>
      <w:r w:rsidR="00A042FF">
        <w:fldChar w:fldCharType="begin"/>
      </w:r>
      <w:r>
        <w:instrText xml:space="preserve"> MACROBUTTON MTPlaceRef \* MERGEFORMAT </w:instrText>
      </w:r>
      <w:r w:rsidR="00A042FF">
        <w:fldChar w:fldCharType="begin"/>
      </w:r>
      <w:r>
        <w:instrText xml:space="preserve"> SEQ MTEqn \h \* MERGEFORMAT </w:instrText>
      </w:r>
      <w:r w:rsidR="00A042FF">
        <w:fldChar w:fldCharType="end"/>
      </w:r>
      <w:r>
        <w:instrText>(</w:instrText>
      </w:r>
      <w:fldSimple w:instr=" SEQ MTEqn \c \* Arabic \* MERGEFORMAT ">
        <w:r>
          <w:rPr>
            <w:noProof/>
          </w:rPr>
          <w:instrText>8</w:instrText>
        </w:r>
      </w:fldSimple>
      <w:r>
        <w:instrText>)</w:instrText>
      </w:r>
      <w:r w:rsidR="00A042FF">
        <w:fldChar w:fldCharType="end"/>
      </w:r>
    </w:p>
    <w:p w:rsidR="000B48A4" w:rsidRDefault="000B48A4" w:rsidP="000B48A4">
      <w:pPr>
        <w:pStyle w:val="MTDisplayEquation"/>
      </w:pPr>
      <w:r>
        <w:t xml:space="preserve"> </w:t>
      </w:r>
    </w:p>
    <w:p w:rsidR="000B48A4" w:rsidRPr="000677FC" w:rsidRDefault="000B48A4" w:rsidP="000B48A4">
      <w:r>
        <w:t xml:space="preserve">where </w:t>
      </w:r>
      <w:r w:rsidRPr="00D322B7">
        <w:rPr>
          <w:i/>
        </w:rPr>
        <w:t>λ</w:t>
      </w:r>
      <w:r>
        <w:t xml:space="preserve"> = the spectral gap of </w:t>
      </w:r>
      <w:r w:rsidRPr="00D322B7">
        <w:rPr>
          <w:rFonts w:ascii="Cambria Math" w:hAnsi="Cambria Math" w:cs="Cambria Math"/>
          <w:i/>
        </w:rPr>
        <w:t>Q</w:t>
      </w:r>
      <w:r>
        <w:t xml:space="preserve">. Finally, as noted above, as </w:t>
      </w:r>
      <w:r>
        <w:rPr>
          <w:i/>
        </w:rPr>
        <w:t xml:space="preserve">n </w:t>
      </w:r>
      <w:r>
        <w:t xml:space="preserve">becomes large, the non-zero eigenvalues of </w:t>
      </w:r>
      <w:r>
        <w:rPr>
          <w:i/>
        </w:rPr>
        <w:t>Q</w:t>
      </w:r>
      <w:r>
        <w:t xml:space="preserve"> approach unity. Thus, the exponential decay rate in Equation 8 will be approximately -1/4. </w:t>
      </w:r>
    </w:p>
    <w:p w:rsidR="000B48A4" w:rsidRPr="00D347D5" w:rsidRDefault="000B48A4" w:rsidP="000B48A4">
      <w:r>
        <w:t xml:space="preserve">It is important to consider whether this convergence rate, dependent on </w:t>
      </w:r>
      <w:r>
        <w:rPr>
          <w:i/>
        </w:rPr>
        <w:t xml:space="preserve">λ </w:t>
      </w:r>
      <w:r>
        <w:t xml:space="preserve">is a function of the number of agents. This depends on how </w:t>
      </w:r>
      <w:r>
        <w:rPr>
          <w:i/>
        </w:rPr>
        <w:t xml:space="preserve">Q </w:t>
      </w:r>
      <w:r>
        <w:t xml:space="preserve">is defined, and, thus depends on the definition of the meeting rates. Moreover, the meeting rates are determined by the definition of the unit of time. If the rates are set as above, a unit of time is defined as that amount of time such that, on average, one interaction will take place among the all the agents in a single unit time. If time were defined in such a way that </w:t>
      </w:r>
      <w:r>
        <w:rPr>
          <w:i/>
        </w:rPr>
        <w:t xml:space="preserve">each </w:t>
      </w:r>
      <w:r>
        <w:t xml:space="preserve">agent would initiate a meeting once per unit time, </w:t>
      </w:r>
      <w:r>
        <w:rPr>
          <w:i/>
        </w:rPr>
        <w:t xml:space="preserve">Q </w:t>
      </w:r>
      <w:r>
        <w:t xml:space="preserve">would be a matrix with all non-diagonal elements equal to one, and the diagonal elements equal to </w:t>
      </w:r>
      <w:r>
        <w:rPr>
          <w:i/>
        </w:rPr>
        <w:t>n</w:t>
      </w:r>
      <w:r>
        <w:t xml:space="preserve"> – 1. The non-zero eigenvalues of such a matrix would equal –</w:t>
      </w:r>
      <w:r>
        <w:rPr>
          <w:i/>
        </w:rPr>
        <w:t xml:space="preserve">n, </w:t>
      </w:r>
      <w:r>
        <w:t xml:space="preserve">and the spectral gap and the convergence rate would certainly vary with the scale of the system. Thus, the definition of time units becomes a key constituent in moving from the mathematical definition of the system to its simulation. </w:t>
      </w:r>
    </w:p>
    <w:p w:rsidR="000B48A4" w:rsidRDefault="000B48A4" w:rsidP="001B5A90">
      <w:pPr>
        <w:pStyle w:val="Heading2"/>
      </w:pPr>
      <w:r>
        <w:t>Extending Theory Through Simulation</w:t>
      </w:r>
    </w:p>
    <w:p w:rsidR="000B48A4" w:rsidRDefault="000B48A4" w:rsidP="000B48A4">
      <w:r>
        <w:t>A commonly-used technique in operations research and systems engineering is to start with a well-developed mathematically-defined system and build a simulation. The simulation will allow the researcher to relax the assumptions of the model, through the design of the code, and examine system behavior. In the general case this allows the operations research analyst to leverage mathematical prediction and extend the range of quantitative analysis. (Simulation is also used to extend the insights gained from physical experimentation, further adding to the utility to decision-makers and the broad confidence non-academic professionals place on simulation.)</w:t>
      </w:r>
    </w:p>
    <w:p w:rsidR="000B48A4" w:rsidRDefault="000B48A4" w:rsidP="000B48A4">
      <w:r>
        <w:t xml:space="preserve">Agent-based models also have been used extensively to evaluate the diffusion of information in a population. Herrmann, et. al., have recently modeled the diffusion of urgent information (weather warnings or high-profile news events) on a network using an agent-based model </w:t>
      </w:r>
      <w:r w:rsidR="00A042FF">
        <w:fldChar w:fldCharType="begin"/>
      </w:r>
      <w:r>
        <w:instrText xml:space="preserve"> ADDIN ZOTERO_ITEM CSL_CITATION {"citationID":"dnoIN4O3","properties":{"formattedCitation":"(Herrmann, Rand, Schein, &amp; Vodopivec, 2013)","plainCitation":"(Herrmann, Rand, Schein, &amp; Vodopivec, 2013)"},"citationItems":[{"id":568,"uris":["http://zotero.org/users/1171527/items/F9KDV7CX"],"uri":["http://zotero.org/users/1171527/items/F9KDV7CX"],"itemData":{"id":568,"type":"article-journal","title":"An Agent-Based Model of Urgent Diff usion in Social Media","container-title":"Available at SSRN 2297167","source":"Google Scholar","URL":"http://www.isr.umd.edu/~jwh2/papers/csssa2013.pdf","author":[{"family":"Herrmann","given":"Jeffrey"},{"family":"Rand","given":"William"},{"family":"Schein","given":"Brandon"},{"family":"Vodopivec","given":"Neza"}],"issued":{"date-parts":[["2013"]]},"accessed":{"date-parts":[["2013",10,21]]}}}],"schema":"https://github.com/citation-style-language/schema/raw/master/csl-citation.json"} </w:instrText>
      </w:r>
      <w:r w:rsidR="00A042FF">
        <w:fldChar w:fldCharType="separate"/>
      </w:r>
      <w:r w:rsidRPr="009A5640">
        <w:t>(Herrmann, Rand, Schein, &amp; Vodopivec, 2013)</w:t>
      </w:r>
      <w:r w:rsidR="00A042FF">
        <w:fldChar w:fldCharType="end"/>
      </w:r>
      <w:r>
        <w:t xml:space="preserve">. </w:t>
      </w:r>
      <w:proofErr w:type="spellStart"/>
      <w:r>
        <w:t>Hui</w:t>
      </w:r>
      <w:proofErr w:type="spellEnd"/>
      <w:r>
        <w:t xml:space="preserve">, et. al. simulated the diffusion of evacuation warnings to a population of agents connected via a network. A simulation approach was necessary because, as agents evacuated, the network topology would change </w:t>
      </w:r>
      <w:r w:rsidR="00A042FF">
        <w:fldChar w:fldCharType="begin"/>
      </w:r>
      <w:r>
        <w:instrText xml:space="preserve"> ADDIN ZOTERO_ITEM CSL_CITATION {"citationID":"Ksu98h4U","properties":{"formattedCitation":"(Hui, Goldberg, Magdon-Ismail, &amp; Wallace, 2010)","plainCitation":"(Hui, Goldberg, Magdon-Ismail, &amp; Wallace, 2010)"},"citationItems":[{"id":565,"uris":["http://zotero.org/users/1171527/items/MRZ5X9GZ"],"uri":["http://zotero.org/users/1171527/items/MRZ5X9GZ"],"itemData":{"id":565,"type":"article-journal","title":"Simulating the Diffusion of Information: An Agent-Based Modeling Approach","container-title":"International Journal of Agent Technologies and Systems","page":"31-46","volume":"2","issue":"3","source":"CrossRef","DOI":"10.4018/jats.2010070103","ISSN":"1943-0744, 1943-0752","shortTitle":"Simulating the Diffusion of Information","author":[{"family":"Hui","given":"Cindy"},{"family":"Goldberg","given":"Mark"},{"family":"Magdon-Ismail","given":"Malik"},{"family":"Wallace","given":"William A."}],"issued":{"date-parts":[["2010"]],"season":"33"},"accessed":{"date-parts":[["2013",10,21]]}}}],"schema":"https://github.com/citation-style-language/schema/raw/master/csl-citation.json"} </w:instrText>
      </w:r>
      <w:r w:rsidR="00A042FF">
        <w:fldChar w:fldCharType="separate"/>
      </w:r>
      <w:r w:rsidRPr="003327F7">
        <w:t>(Hui, Goldberg, Magdon-Ismail, &amp; Wallace, 2010)</w:t>
      </w:r>
      <w:r w:rsidR="00A042FF">
        <w:fldChar w:fldCharType="end"/>
      </w:r>
      <w:r>
        <w:t xml:space="preserve">. </w:t>
      </w:r>
      <w:proofErr w:type="spellStart"/>
      <w:r>
        <w:t>Rosval</w:t>
      </w:r>
      <w:proofErr w:type="spellEnd"/>
      <w:r>
        <w:t xml:space="preserve"> and </w:t>
      </w:r>
      <w:proofErr w:type="spellStart"/>
      <w:r>
        <w:t>Sneppen</w:t>
      </w:r>
      <w:proofErr w:type="spellEnd"/>
      <w:r>
        <w:t xml:space="preserve"> explored the exchange of information in an agent-based model of a dynamic network </w:t>
      </w:r>
      <w:r w:rsidR="00A042FF">
        <w:fldChar w:fldCharType="begin"/>
      </w:r>
      <w:r>
        <w:instrText xml:space="preserve"> ADDIN ZOTERO_ITEM CSL_CITATION {"citationID":"BDOZkQPf","properties":{"formattedCitation":"(Rosvall &amp; Sneppen, 2003)","plainCitation":"(Rosvall &amp; Sneppen, 2003)"},"citationItems":[{"id":590,"uris":["http://zotero.org/users/1171527/items/RFXQ3WZ8"],"uri":["http://zotero.org/users/1171527/items/RFXQ3WZ8"],"itemData":{"id":590,"type":"report","title":"Modeling Dynamics of Information Networks","genre":"arXiv e-print","source":"arXiv.org","abstract":"We propose an information-based model for network dynamics in which imperfect information leads to networks where the different vertices have widely different number of edges to other vertices, and where the topology has hierarchical features. The possibility to observe scale free networks is linked to a minimally connected system where hubs remain dynamic.","URL":"http://arxiv.org/abs/cond-mat/0308399","note":"Phys. Rev. Lett. 91, 178701 (2003).","number":"cond-mat/0308399","author":[{"family":"Rosvall","given":"Martin"},{"family":"Sneppen","given":"Kim"}],"issued":{"date-parts":[["2003",8,20]]},"accessed":{"date-parts":[["2013",10,31]]}}}],"schema":"https://github.com/citation-style-language/schema/raw/master/csl-citation.json"} </w:instrText>
      </w:r>
      <w:r w:rsidR="00A042FF">
        <w:fldChar w:fldCharType="separate"/>
      </w:r>
      <w:r w:rsidRPr="00533FFD">
        <w:t>(Rosvall &amp; Sneppen, 2003)</w:t>
      </w:r>
      <w:r w:rsidR="00A042FF">
        <w:fldChar w:fldCharType="end"/>
      </w:r>
      <w:r>
        <w:t xml:space="preserve">. And, Cui and </w:t>
      </w:r>
      <w:proofErr w:type="spellStart"/>
      <w:r>
        <w:t>Potok</w:t>
      </w:r>
      <w:proofErr w:type="spellEnd"/>
      <w:r>
        <w:t xml:space="preserve">, using an agent-based swarm-type model of insurgency showed that information exchange among disparate, self-organized groups can be just as efficient as in a hierarchical insurgency with unified leadership and strategic planning </w:t>
      </w:r>
      <w:r w:rsidR="00A042FF">
        <w:fldChar w:fldCharType="begin"/>
      </w:r>
      <w:r>
        <w:instrText xml:space="preserve"> ADDIN ZOTERO_ITEM CSL_CITATION {"citationID":"arB3CZG5","properties":{"formattedCitation":"(Cui &amp; Potok, 2007)","plainCitation":"(Cui &amp; Potok, 2007)"},"citationItems":[{"id":594,"uris":["http://zotero.org/users/1171527/items/R7GHTMBN"],"uri":["http://zotero.org/users/1171527/items/R7GHTMBN"],"itemData":{"id":594,"type":"paper-conference","title":"A Particle Swarm Social Model for Multi-Agent Based Insurgency Warfare Simulation","container-title":"5th ACIS International Conference on Software Engineering Research, Management Applications, 2007. SERA 2007","page":"177-183","source":"IEEE Xplore","event":"5th ACIS International Conference on Software Engineering Research, Management Applications, 2007. SERA 2007","abstract":"To better understand insurgent activities and asymmetric warfare, a social adaptive model for modeling multiple insurgent groups attacking multiple military and civilian targets is proposed and investigated. This report presents a pilot study using the particle swarm modeling, a widely used non-linear optimal tool, to model the emergence of insurgency campaign. The objective of this research is to apply the particle swarm metaphor as a model of insurgent social adaptation for the dynamically changing environment and to provide insight and understanding of insurgency warfare. Our results show that unified leadership, strategic planning, and effective communication between insurgent groups are not the necessary requirements for insurgents to efficiently attain their objectives.","DOI":"10.1109/SERA.2007.21","author":[{"family":"Cui","given":"Xiaohui"},{"family":"Potok","given":"T.E."}],"issued":{"date-parts":[["2007"]]}}}],"schema":"https://github.com/citation-style-language/schema/raw/master/csl-citation.json"} </w:instrText>
      </w:r>
      <w:r w:rsidR="00A042FF">
        <w:fldChar w:fldCharType="separate"/>
      </w:r>
      <w:r w:rsidRPr="00533FFD">
        <w:t>(Cui &amp; Potok, 2007)</w:t>
      </w:r>
      <w:r w:rsidR="00A042FF">
        <w:fldChar w:fldCharType="end"/>
      </w:r>
      <w:r>
        <w:t>.</w:t>
      </w:r>
    </w:p>
    <w:p w:rsidR="000B48A4" w:rsidRDefault="000B48A4" w:rsidP="001B5A90">
      <w:pPr>
        <w:pStyle w:val="Heading2"/>
      </w:pPr>
      <w:r>
        <w:t>Agent-based Model and Varying Activation</w:t>
      </w:r>
    </w:p>
    <w:p w:rsidR="000B48A4" w:rsidRDefault="000B48A4" w:rsidP="000B48A4">
      <w:r>
        <w:t xml:space="preserve">The Leveler theoretical model assumes that the meeting matrix or transition matrix </w:t>
      </w:r>
      <w:r>
        <w:rPr>
          <w:rFonts w:ascii="Cambria Math" w:hAnsi="Cambria Math" w:cs="Cambria Math"/>
        </w:rPr>
        <w:t>𝒩</w:t>
      </w:r>
      <w:r>
        <w:t xml:space="preserve"> (or its generating matrix </w:t>
      </w:r>
      <w:r w:rsidRPr="003327F7">
        <w:rPr>
          <w:i/>
        </w:rPr>
        <w:t>Q</w:t>
      </w:r>
      <w:r>
        <w:t xml:space="preserve">) </w:t>
      </w:r>
      <w:r w:rsidRPr="003327F7">
        <w:t>remains</w:t>
      </w:r>
      <w:r>
        <w:t xml:space="preserve"> unchanged during the course of the model. It has no concept of ‘turn’ in which a full population of agents are activated. The model evolves in ‘secular’ time, and all </w:t>
      </w:r>
      <w:r>
        <w:rPr>
          <w:i/>
        </w:rPr>
        <w:t xml:space="preserve">n </w:t>
      </w:r>
      <w:r>
        <w:t xml:space="preserve">agents activate in accordance with their own Poisson process. Most of these assumptions are made in order to make this elegant derivation of the convergence rate as a closed-form inequality possible. </w:t>
      </w:r>
    </w:p>
    <w:p w:rsidR="000B48A4" w:rsidRPr="00D543C5" w:rsidRDefault="000B48A4" w:rsidP="000B48A4">
      <w:r>
        <w:lastRenderedPageBreak/>
        <w:t xml:space="preserve">Do these conditions exist in the real world? Aldous cautions researchers who extrapolate these abstract models to real-world movement of knowledge in a population. Information does not take on well-defined scalar values (such as wealth in the Leveler model), and individuals find many ways to move information beyond a simple meeting protocol </w:t>
      </w:r>
      <w:r w:rsidR="00A042FF">
        <w:fldChar w:fldCharType="begin"/>
      </w:r>
      <w:r>
        <w:instrText xml:space="preserve"> ADDIN ZOTERO_ITEM CSL_CITATION {"citationID":"JbRD9sMZ","properties":{"formattedCitation":"(Aldous &amp; Lanoue, 2012)","plainCitation":"(Aldous &amp; Lanoue, 2012)"},"citationItems":[{"id":524,"uris":["http://zotero.org/users/1171527/items/ACNB8MPS"],"uri":["http://zotero.org/users/1171527/items/ACNB8MPS"],"itemData":{"id":524,"type":"article-journal","title":"Interacting Particle Systems as Stochastic Social Dynamics","container-title":"Probability Surveys","page":"90–102","volume":"9","source":"Google Scholar","author":[{"family":"Aldous","given":"David"},{"family":"Lanoue","given":"Daniel"}],"issued":{"date-parts":[["2012"]]},"accessed":{"date-parts":[["2013",9,7]]}}}],"schema":"https://github.com/citation-style-language/schema/raw/master/csl-citation.json"} </w:instrText>
      </w:r>
      <w:r w:rsidR="00A042FF">
        <w:fldChar w:fldCharType="separate"/>
      </w:r>
      <w:r w:rsidRPr="00225C22">
        <w:t>(Aldous &amp; Lanoue, 2012)</w:t>
      </w:r>
      <w:r w:rsidR="00A042FF">
        <w:fldChar w:fldCharType="end"/>
      </w:r>
      <w:r>
        <w:t xml:space="preserve">. </w:t>
      </w:r>
    </w:p>
    <w:p w:rsidR="000B48A4" w:rsidRDefault="000B48A4" w:rsidP="000B48A4">
      <w:r>
        <w:t xml:space="preserve">To capture some of the non-abstract real-world behavior, a Leveler model was created in Python. The convergence of wealth – as measured by </w:t>
      </w:r>
      <w:proofErr w:type="spellStart"/>
      <w:r>
        <w:rPr>
          <w:i/>
        </w:rPr>
        <w:t>σ</w:t>
      </w:r>
      <w:r>
        <w:rPr>
          <w:i/>
          <w:vertAlign w:val="subscript"/>
        </w:rPr>
        <w:t>w</w:t>
      </w:r>
      <w:proofErr w:type="spellEnd"/>
      <w:r>
        <w:t xml:space="preserve"> -- was examined using different activation schemes: </w:t>
      </w:r>
    </w:p>
    <w:p w:rsidR="000B48A4" w:rsidRDefault="000B48A4" w:rsidP="000B48A4">
      <w:pPr>
        <w:pStyle w:val="ListParagraph"/>
        <w:numPr>
          <w:ilvl w:val="0"/>
          <w:numId w:val="3"/>
        </w:numPr>
      </w:pPr>
      <w:r w:rsidRPr="003843EA">
        <w:rPr>
          <w:u w:val="single"/>
        </w:rPr>
        <w:t xml:space="preserve">Uniform </w:t>
      </w:r>
      <w:r>
        <w:t>activation creates a sequence of pairs from the population through sampling without replacement. The pairs leveled their wealth when they were activated. One turn is defined as activating the entire population (in pairs) exactly once. (Odd-numbered populations will have one inactive agent in each turn, randomly assigned.)</w:t>
      </w:r>
    </w:p>
    <w:p w:rsidR="000B48A4" w:rsidRDefault="000B48A4" w:rsidP="000B48A4">
      <w:pPr>
        <w:pStyle w:val="ListParagraph"/>
        <w:numPr>
          <w:ilvl w:val="0"/>
          <w:numId w:val="3"/>
        </w:numPr>
      </w:pPr>
      <w:r>
        <w:rPr>
          <w:u w:val="single"/>
        </w:rPr>
        <w:t xml:space="preserve">Random </w:t>
      </w:r>
      <w:r>
        <w:t xml:space="preserve">activation involves selecting pairs of agents from the population </w:t>
      </w:r>
      <w:r>
        <w:rPr>
          <w:i/>
        </w:rPr>
        <w:t xml:space="preserve">with </w:t>
      </w:r>
      <w:r>
        <w:t xml:space="preserve">replacement. A turn is defined as complete when a full population has been activated, or after </w:t>
      </w:r>
      <w:r>
        <w:rPr>
          <w:i/>
        </w:rPr>
        <w:t>n</w:t>
      </w:r>
      <w:r>
        <w:t>/2 pairs have been selected.</w:t>
      </w:r>
    </w:p>
    <w:p w:rsidR="000B48A4" w:rsidRDefault="000B48A4" w:rsidP="000B48A4">
      <w:pPr>
        <w:pStyle w:val="ListParagraph"/>
        <w:numPr>
          <w:ilvl w:val="0"/>
          <w:numId w:val="3"/>
        </w:numPr>
      </w:pPr>
      <w:r>
        <w:rPr>
          <w:u w:val="single"/>
        </w:rPr>
        <w:t>Poisson</w:t>
      </w:r>
      <w:r>
        <w:t xml:space="preserve"> required the determination of the activation rate, </w:t>
      </w:r>
      <w:proofErr w:type="spellStart"/>
      <w:r w:rsidRPr="000E08E6">
        <w:rPr>
          <w:i/>
        </w:rPr>
        <w:t>λ</w:t>
      </w:r>
      <w:r>
        <w:rPr>
          <w:i/>
          <w:vertAlign w:val="subscript"/>
        </w:rPr>
        <w:t>i</w:t>
      </w:r>
      <w:proofErr w:type="spellEnd"/>
      <w:r>
        <w:t xml:space="preserve">, for each individual agent. These rates were normalized at the beginning of a turn so that, on average, one population’s worth of agents would be activated on each turn. Thus, the mean </w:t>
      </w:r>
      <w:r>
        <w:rPr>
          <w:i/>
        </w:rPr>
        <w:t xml:space="preserve">λ </w:t>
      </w:r>
      <w:r>
        <w:t>would be 1/</w:t>
      </w:r>
      <w:r>
        <w:rPr>
          <w:i/>
        </w:rPr>
        <w:t>n</w:t>
      </w:r>
      <w:r>
        <w:t xml:space="preserve">.  Also at the beginning of a turn, a Poisson process was populated for each agent in accordance with the individual arrival rate, </w:t>
      </w:r>
      <w:proofErr w:type="spellStart"/>
      <w:r w:rsidRPr="000E08E6">
        <w:rPr>
          <w:i/>
        </w:rPr>
        <w:t>λ</w:t>
      </w:r>
      <w:r>
        <w:rPr>
          <w:i/>
          <w:vertAlign w:val="subscript"/>
        </w:rPr>
        <w:t>i</w:t>
      </w:r>
      <w:proofErr w:type="spellEnd"/>
      <w:r>
        <w:t xml:space="preserve">. These arrival times were placed in sequence on an ‘activation table’. By design, the average number of agents on each turn’s activation table was one population’s worth of agents. The leveling process took place by selecting the agents from the table two at a time. At the beginning of the next turn, agents’ values of </w:t>
      </w:r>
      <w:proofErr w:type="spellStart"/>
      <w:r w:rsidRPr="00A360EC">
        <w:rPr>
          <w:i/>
        </w:rPr>
        <w:t>λ</w:t>
      </w:r>
      <w:r>
        <w:rPr>
          <w:i/>
          <w:vertAlign w:val="subscript"/>
        </w:rPr>
        <w:t>i</w:t>
      </w:r>
      <w:proofErr w:type="spellEnd"/>
      <w:r>
        <w:t xml:space="preserve"> were recomputed. Several rules are possible to determine this </w:t>
      </w:r>
      <w:proofErr w:type="spellStart"/>
      <w:r w:rsidRPr="00A360EC">
        <w:rPr>
          <w:i/>
        </w:rPr>
        <w:t>λ</w:t>
      </w:r>
      <w:r>
        <w:rPr>
          <w:i/>
          <w:vertAlign w:val="subscript"/>
        </w:rPr>
        <w:t>i</w:t>
      </w:r>
      <w:proofErr w:type="spellEnd"/>
      <w:r>
        <w:t xml:space="preserve">. I chose to make </w:t>
      </w:r>
      <w:proofErr w:type="spellStart"/>
      <w:r w:rsidRPr="00A360EC">
        <w:rPr>
          <w:i/>
        </w:rPr>
        <w:t>λ</w:t>
      </w:r>
      <w:r>
        <w:rPr>
          <w:i/>
          <w:vertAlign w:val="subscript"/>
        </w:rPr>
        <w:t>i</w:t>
      </w:r>
      <w:proofErr w:type="spellEnd"/>
      <w:r>
        <w:t xml:space="preserve"> proportional to the distance between the individual agent’s wealth and the mean wealth. Those furthest from the mean wealth would activate more frequently, those closest to the mean would activate at a slower value of </w:t>
      </w:r>
      <w:r w:rsidRPr="00A360EC">
        <w:rPr>
          <w:i/>
        </w:rPr>
        <w:t>λ</w:t>
      </w:r>
      <w:r>
        <w:t xml:space="preserve">. </w:t>
      </w:r>
    </w:p>
    <w:p w:rsidR="000B48A4" w:rsidRDefault="000B48A4" w:rsidP="000B48A4">
      <w:pPr>
        <w:pStyle w:val="ListParagraph"/>
        <w:numPr>
          <w:ilvl w:val="0"/>
          <w:numId w:val="3"/>
        </w:numPr>
      </w:pPr>
      <w:r>
        <w:rPr>
          <w:u w:val="single"/>
        </w:rPr>
        <w:t xml:space="preserve">Inverse </w:t>
      </w:r>
      <w:r>
        <w:t xml:space="preserve">Poisson activation merely reversed the above rule. Those agents closest to the mean would activate fastest while those furthest from the mean (the richest and the poorest agents)  would be the least likely to ‘share the wealth’. </w:t>
      </w:r>
    </w:p>
    <w:p w:rsidR="000B48A4" w:rsidRPr="00D543C5" w:rsidRDefault="000B48A4" w:rsidP="000B48A4">
      <w:r>
        <w:t xml:space="preserve">It should be noted that there are many other options for establishing the values of </w:t>
      </w:r>
      <w:proofErr w:type="spellStart"/>
      <w:r w:rsidRPr="00344A7E">
        <w:rPr>
          <w:i/>
        </w:rPr>
        <w:t>λ</w:t>
      </w:r>
      <w:r>
        <w:rPr>
          <w:i/>
          <w:vertAlign w:val="subscript"/>
        </w:rPr>
        <w:t>i</w:t>
      </w:r>
      <w:proofErr w:type="spellEnd"/>
      <w:r>
        <w:t>. In order to create a distribution of wealth, each agent was endowed with a wealth ‘account’ equal to his index value. Thus, the first agent started with a wealth of 1 and the 1000</w:t>
      </w:r>
      <w:r w:rsidRPr="008F54BF">
        <w:rPr>
          <w:vertAlign w:val="superscript"/>
        </w:rPr>
        <w:t>th</w:t>
      </w:r>
      <w:r>
        <w:t xml:space="preserve"> agent began with a wealth of 1000. Thus, the average wealth was 500.5, and the initial standard deviation was 288.675. Five runs were conducted for each activation scheme. </w:t>
      </w:r>
    </w:p>
    <w:p w:rsidR="000B48A4" w:rsidRDefault="000B48A4" w:rsidP="001B5A90">
      <w:pPr>
        <w:pStyle w:val="Heading2"/>
      </w:pPr>
      <w:r>
        <w:t>R</w:t>
      </w:r>
      <w:r w:rsidRPr="001B5A90">
        <w:t>e</w:t>
      </w:r>
      <w:r>
        <w:t>sults</w:t>
      </w:r>
    </w:p>
    <w:p w:rsidR="000B48A4" w:rsidRDefault="000B48A4" w:rsidP="000B48A4">
      <w:pPr>
        <w:keepNext/>
      </w:pPr>
      <w:r>
        <w:rPr>
          <w:noProof/>
        </w:rPr>
        <w:drawing>
          <wp:inline distT="0" distB="0" distL="0" distR="0">
            <wp:extent cx="5029200" cy="2879090"/>
            <wp:effectExtent l="19050" t="0" r="0" b="0"/>
            <wp:docPr id="34" name="Picture 33" descr="Leveler Model 1K Ag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veler Model 1K Agents.png"/>
                    <pic:cNvPicPr/>
                  </pic:nvPicPr>
                  <pic:blipFill>
                    <a:blip r:embed="rId31" cstate="print"/>
                    <a:stretch>
                      <a:fillRect/>
                    </a:stretch>
                  </pic:blipFill>
                  <pic:spPr>
                    <a:xfrm>
                      <a:off x="0" y="0"/>
                      <a:ext cx="5029200" cy="2879090"/>
                    </a:xfrm>
                    <a:prstGeom prst="rect">
                      <a:avLst/>
                    </a:prstGeom>
                  </pic:spPr>
                </pic:pic>
              </a:graphicData>
            </a:graphic>
          </wp:inline>
        </w:drawing>
      </w:r>
    </w:p>
    <w:p w:rsidR="000B48A4" w:rsidRDefault="000B48A4" w:rsidP="000B48A4">
      <w:pPr>
        <w:pStyle w:val="Caption"/>
        <w:jc w:val="center"/>
      </w:pPr>
      <w:bookmarkStart w:id="1" w:name="_Ref370473159"/>
      <w:bookmarkStart w:id="2" w:name="_Toc371064650"/>
      <w:r>
        <w:t xml:space="preserve">Figure </w:t>
      </w:r>
      <w:fldSimple w:instr=" SEQ Figure \* ARABIC ">
        <w:r>
          <w:rPr>
            <w:noProof/>
          </w:rPr>
          <w:t>31</w:t>
        </w:r>
      </w:fldSimple>
      <w:bookmarkEnd w:id="1"/>
      <w:r>
        <w:t>. Convergence in the Leveler Model</w:t>
      </w:r>
      <w:bookmarkEnd w:id="2"/>
    </w:p>
    <w:p w:rsidR="000B48A4" w:rsidRDefault="000B48A4" w:rsidP="000B48A4">
      <w:r>
        <w:t xml:space="preserve">As shown in </w:t>
      </w:r>
      <w:r w:rsidR="00A042FF">
        <w:fldChar w:fldCharType="begin"/>
      </w:r>
      <w:r>
        <w:instrText xml:space="preserve"> REF _Ref370473159 \h </w:instrText>
      </w:r>
      <w:r w:rsidR="00A042FF">
        <w:fldChar w:fldCharType="separate"/>
      </w:r>
      <w:r>
        <w:t xml:space="preserve">Figure </w:t>
      </w:r>
      <w:r>
        <w:rPr>
          <w:noProof/>
        </w:rPr>
        <w:t>29</w:t>
      </w:r>
      <w:r w:rsidR="00A042FF">
        <w:fldChar w:fldCharType="end"/>
      </w:r>
      <w:r>
        <w:t xml:space="preserve"> the four activation schemes resulted in markedly different convergence rates. As the exponent of decay was the most important for these time series,  shows the average coefficient of the time variable. Note that, for this simulation, time is defined in turns. In the theoretical construct, turns do not exist and time is defined in terms of the individual agents Poisson process. </w:t>
      </w:r>
    </w:p>
    <w:p w:rsidR="000B48A4" w:rsidRDefault="000B48A4" w:rsidP="000B48A4">
      <w:pPr>
        <w:pStyle w:val="Caption"/>
        <w:keepNext/>
      </w:pPr>
      <w:bookmarkStart w:id="3" w:name="_Ref370976519"/>
      <w:bookmarkStart w:id="4" w:name="_Toc371064663"/>
      <w:r>
        <w:lastRenderedPageBreak/>
        <w:t xml:space="preserve">Table </w:t>
      </w:r>
      <w:fldSimple w:instr=" SEQ Table \* ARABIC ">
        <w:r>
          <w:rPr>
            <w:noProof/>
          </w:rPr>
          <w:t>9</w:t>
        </w:r>
      </w:fldSimple>
      <w:bookmarkEnd w:id="3"/>
      <w:r>
        <w:t>. Decay Rates for Leveler Model by Activation Type</w:t>
      </w:r>
      <w:bookmarkEnd w:id="4"/>
    </w:p>
    <w:tbl>
      <w:tblPr>
        <w:tblW w:w="0" w:type="auto"/>
        <w:jc w:val="center"/>
        <w:tblLook w:val="01E0"/>
      </w:tblPr>
      <w:tblGrid>
        <w:gridCol w:w="1516"/>
        <w:gridCol w:w="1373"/>
        <w:gridCol w:w="954"/>
        <w:gridCol w:w="208"/>
        <w:gridCol w:w="77"/>
        <w:gridCol w:w="1001"/>
        <w:gridCol w:w="154"/>
        <w:gridCol w:w="1268"/>
        <w:gridCol w:w="1289"/>
        <w:gridCol w:w="233"/>
      </w:tblGrid>
      <w:tr w:rsidR="000B48A4" w:rsidRPr="006351F2" w:rsidTr="00802C60">
        <w:trPr>
          <w:cantSplit/>
          <w:jc w:val="center"/>
        </w:trPr>
        <w:tc>
          <w:tcPr>
            <w:tcW w:w="3871" w:type="dxa"/>
            <w:gridSpan w:val="3"/>
            <w:tcBorders>
              <w:top w:val="single" w:sz="4" w:space="0" w:color="auto"/>
              <w:bottom w:val="single" w:sz="4" w:space="0" w:color="auto"/>
            </w:tcBorders>
          </w:tcPr>
          <w:p w:rsidR="000B48A4" w:rsidRPr="006351F2" w:rsidRDefault="000B48A4" w:rsidP="00802C60">
            <w:pPr>
              <w:pStyle w:val="Els-table-text"/>
              <w:keepNext w:val="0"/>
              <w:widowControl w:val="0"/>
              <w:rPr>
                <w:i/>
                <w:sz w:val="20"/>
              </w:rPr>
            </w:pPr>
            <w:r>
              <w:rPr>
                <w:i/>
                <w:sz w:val="20"/>
              </w:rPr>
              <w:t>Decay Rate</w:t>
            </w:r>
          </w:p>
        </w:tc>
        <w:tc>
          <w:tcPr>
            <w:tcW w:w="1294" w:type="dxa"/>
            <w:gridSpan w:val="3"/>
            <w:tcBorders>
              <w:top w:val="single" w:sz="4" w:space="0" w:color="auto"/>
              <w:bottom w:val="single" w:sz="4" w:space="0" w:color="auto"/>
            </w:tcBorders>
          </w:tcPr>
          <w:p w:rsidR="000B48A4" w:rsidRDefault="000B48A4" w:rsidP="00802C60">
            <w:pPr>
              <w:pStyle w:val="Els-table-text"/>
              <w:keepNext w:val="0"/>
              <w:widowControl w:val="0"/>
              <w:rPr>
                <w:i/>
                <w:sz w:val="20"/>
              </w:rPr>
            </w:pPr>
          </w:p>
        </w:tc>
        <w:tc>
          <w:tcPr>
            <w:tcW w:w="2971" w:type="dxa"/>
            <w:gridSpan w:val="4"/>
            <w:tcBorders>
              <w:top w:val="single" w:sz="4" w:space="0" w:color="auto"/>
              <w:bottom w:val="single" w:sz="4" w:space="0" w:color="auto"/>
            </w:tcBorders>
          </w:tcPr>
          <w:p w:rsidR="000B48A4" w:rsidRPr="006351F2" w:rsidRDefault="000B48A4" w:rsidP="00802C60">
            <w:pPr>
              <w:pStyle w:val="Els-table-text"/>
              <w:keepNext w:val="0"/>
              <w:widowControl w:val="0"/>
              <w:rPr>
                <w:i/>
                <w:sz w:val="20"/>
              </w:rPr>
            </w:pPr>
            <w:r>
              <w:rPr>
                <w:i/>
                <w:sz w:val="20"/>
              </w:rPr>
              <w:t>Experimental Run</w:t>
            </w:r>
          </w:p>
        </w:tc>
      </w:tr>
      <w:tr w:rsidR="000B48A4" w:rsidRPr="006351F2" w:rsidTr="00802C60">
        <w:trPr>
          <w:gridAfter w:val="1"/>
          <w:wAfter w:w="237" w:type="dxa"/>
          <w:cantSplit/>
          <w:jc w:val="center"/>
        </w:trPr>
        <w:tc>
          <w:tcPr>
            <w:tcW w:w="1524" w:type="dxa"/>
            <w:tcBorders>
              <w:top w:val="single" w:sz="4" w:space="0" w:color="auto"/>
              <w:bottom w:val="single" w:sz="4" w:space="0" w:color="auto"/>
            </w:tcBorders>
          </w:tcPr>
          <w:p w:rsidR="000B48A4" w:rsidRPr="006351F2" w:rsidRDefault="000B48A4" w:rsidP="00802C60">
            <w:pPr>
              <w:pStyle w:val="Els-table-text"/>
              <w:keepNext w:val="0"/>
              <w:widowControl w:val="0"/>
              <w:rPr>
                <w:sz w:val="20"/>
              </w:rPr>
            </w:pPr>
            <w:r>
              <w:rPr>
                <w:sz w:val="20"/>
              </w:rPr>
              <w:t>Activation</w:t>
            </w:r>
          </w:p>
        </w:tc>
        <w:tc>
          <w:tcPr>
            <w:tcW w:w="1385" w:type="dxa"/>
            <w:tcBorders>
              <w:top w:val="single" w:sz="4" w:space="0" w:color="auto"/>
              <w:bottom w:val="single" w:sz="4" w:space="0" w:color="auto"/>
            </w:tcBorders>
          </w:tcPr>
          <w:p w:rsidR="000B48A4" w:rsidRPr="00C1033C" w:rsidRDefault="000B48A4" w:rsidP="00802C60">
            <w:pPr>
              <w:pStyle w:val="Els-table-text"/>
              <w:keepNext w:val="0"/>
              <w:widowControl w:val="0"/>
              <w:jc w:val="center"/>
              <w:rPr>
                <w:b/>
                <w:sz w:val="20"/>
              </w:rPr>
            </w:pPr>
            <w:r w:rsidRPr="00C1033C">
              <w:rPr>
                <w:b/>
                <w:sz w:val="20"/>
              </w:rPr>
              <w:t>1</w:t>
            </w:r>
          </w:p>
        </w:tc>
        <w:tc>
          <w:tcPr>
            <w:tcW w:w="1172" w:type="dxa"/>
            <w:gridSpan w:val="2"/>
            <w:tcBorders>
              <w:top w:val="single" w:sz="4" w:space="0" w:color="auto"/>
              <w:bottom w:val="single" w:sz="4" w:space="0" w:color="auto"/>
            </w:tcBorders>
          </w:tcPr>
          <w:p w:rsidR="000B48A4" w:rsidRPr="00C1033C" w:rsidRDefault="000B48A4" w:rsidP="00802C60">
            <w:pPr>
              <w:pStyle w:val="Els-table-text"/>
              <w:keepNext w:val="0"/>
              <w:widowControl w:val="0"/>
              <w:jc w:val="center"/>
              <w:rPr>
                <w:b/>
                <w:sz w:val="20"/>
              </w:rPr>
            </w:pPr>
            <w:r w:rsidRPr="00C1033C">
              <w:rPr>
                <w:b/>
                <w:sz w:val="20"/>
              </w:rPr>
              <w:t>2</w:t>
            </w:r>
          </w:p>
        </w:tc>
        <w:tc>
          <w:tcPr>
            <w:tcW w:w="1240" w:type="dxa"/>
            <w:gridSpan w:val="3"/>
            <w:tcBorders>
              <w:top w:val="single" w:sz="4" w:space="0" w:color="auto"/>
              <w:bottom w:val="single" w:sz="4" w:space="0" w:color="auto"/>
            </w:tcBorders>
          </w:tcPr>
          <w:p w:rsidR="000B48A4" w:rsidRPr="00C1033C" w:rsidRDefault="000B48A4" w:rsidP="00802C60">
            <w:pPr>
              <w:pStyle w:val="Els-table-text"/>
              <w:keepNext w:val="0"/>
              <w:widowControl w:val="0"/>
              <w:jc w:val="center"/>
              <w:rPr>
                <w:b/>
                <w:sz w:val="20"/>
              </w:rPr>
            </w:pPr>
            <w:r w:rsidRPr="00C1033C">
              <w:rPr>
                <w:b/>
                <w:sz w:val="20"/>
              </w:rPr>
              <w:t>3</w:t>
            </w:r>
          </w:p>
        </w:tc>
        <w:tc>
          <w:tcPr>
            <w:tcW w:w="1278" w:type="dxa"/>
            <w:tcBorders>
              <w:top w:val="single" w:sz="4" w:space="0" w:color="auto"/>
              <w:bottom w:val="single" w:sz="4" w:space="0" w:color="auto"/>
            </w:tcBorders>
          </w:tcPr>
          <w:p w:rsidR="000B48A4" w:rsidRPr="00C1033C" w:rsidRDefault="000B48A4" w:rsidP="00802C60">
            <w:pPr>
              <w:pStyle w:val="Els-table-text"/>
              <w:keepNext w:val="0"/>
              <w:widowControl w:val="0"/>
              <w:jc w:val="center"/>
              <w:rPr>
                <w:b/>
                <w:sz w:val="20"/>
              </w:rPr>
            </w:pPr>
            <w:r>
              <w:rPr>
                <w:b/>
                <w:sz w:val="20"/>
              </w:rPr>
              <w:t>4</w:t>
            </w:r>
          </w:p>
        </w:tc>
        <w:tc>
          <w:tcPr>
            <w:tcW w:w="1300" w:type="dxa"/>
            <w:tcBorders>
              <w:top w:val="single" w:sz="4" w:space="0" w:color="auto"/>
              <w:bottom w:val="single" w:sz="4" w:space="0" w:color="auto"/>
            </w:tcBorders>
          </w:tcPr>
          <w:p w:rsidR="000B48A4" w:rsidRPr="00C1033C" w:rsidRDefault="000B48A4" w:rsidP="00802C60">
            <w:pPr>
              <w:pStyle w:val="Els-table-text"/>
              <w:keepNext w:val="0"/>
              <w:widowControl w:val="0"/>
              <w:jc w:val="center"/>
              <w:rPr>
                <w:b/>
                <w:sz w:val="20"/>
              </w:rPr>
            </w:pPr>
            <w:r>
              <w:rPr>
                <w:b/>
                <w:sz w:val="20"/>
              </w:rPr>
              <w:t>5</w:t>
            </w:r>
          </w:p>
        </w:tc>
      </w:tr>
      <w:tr w:rsidR="000B48A4" w:rsidRPr="00831BAA" w:rsidTr="00802C60">
        <w:trPr>
          <w:gridAfter w:val="1"/>
          <w:wAfter w:w="237" w:type="dxa"/>
          <w:cantSplit/>
          <w:trHeight w:hRule="exact" w:val="317"/>
          <w:jc w:val="center"/>
        </w:trPr>
        <w:tc>
          <w:tcPr>
            <w:tcW w:w="1524" w:type="dxa"/>
            <w:tcBorders>
              <w:top w:val="single" w:sz="4" w:space="0" w:color="auto"/>
            </w:tcBorders>
          </w:tcPr>
          <w:p w:rsidR="000B48A4" w:rsidRPr="00831BAA" w:rsidRDefault="000B48A4" w:rsidP="00802C60">
            <w:pPr>
              <w:pStyle w:val="Els-table-text"/>
              <w:keepNext w:val="0"/>
              <w:widowControl w:val="0"/>
              <w:rPr>
                <w:sz w:val="20"/>
              </w:rPr>
            </w:pPr>
            <w:r w:rsidRPr="00831BAA">
              <w:rPr>
                <w:sz w:val="20"/>
              </w:rPr>
              <w:t>Random</w:t>
            </w:r>
          </w:p>
        </w:tc>
        <w:tc>
          <w:tcPr>
            <w:tcW w:w="1385" w:type="dxa"/>
            <w:tcBorders>
              <w:top w:val="single" w:sz="4" w:space="0" w:color="auto"/>
            </w:tcBorders>
            <w:vAlign w:val="bottom"/>
          </w:tcPr>
          <w:p w:rsidR="000B48A4" w:rsidRPr="00831BAA" w:rsidRDefault="000B48A4" w:rsidP="00802C60">
            <w:pPr>
              <w:jc w:val="right"/>
              <w:rPr>
                <w:color w:val="000000"/>
                <w:szCs w:val="18"/>
              </w:rPr>
            </w:pPr>
            <w:r w:rsidRPr="00831BAA">
              <w:rPr>
                <w:color w:val="000000"/>
                <w:szCs w:val="18"/>
              </w:rPr>
              <w:t>-0.2511</w:t>
            </w:r>
          </w:p>
        </w:tc>
        <w:tc>
          <w:tcPr>
            <w:tcW w:w="1249" w:type="dxa"/>
            <w:gridSpan w:val="3"/>
            <w:tcBorders>
              <w:top w:val="single" w:sz="4" w:space="0" w:color="auto"/>
            </w:tcBorders>
            <w:vAlign w:val="bottom"/>
          </w:tcPr>
          <w:p w:rsidR="000B48A4" w:rsidRPr="00831BAA" w:rsidRDefault="000B48A4" w:rsidP="00802C60">
            <w:pPr>
              <w:jc w:val="right"/>
              <w:rPr>
                <w:color w:val="000000"/>
                <w:szCs w:val="18"/>
              </w:rPr>
            </w:pPr>
            <w:r w:rsidRPr="00831BAA">
              <w:rPr>
                <w:color w:val="000000"/>
                <w:szCs w:val="18"/>
              </w:rPr>
              <w:t>-0.2550</w:t>
            </w:r>
          </w:p>
        </w:tc>
        <w:tc>
          <w:tcPr>
            <w:tcW w:w="1163" w:type="dxa"/>
            <w:gridSpan w:val="2"/>
            <w:tcBorders>
              <w:top w:val="single" w:sz="4" w:space="0" w:color="auto"/>
            </w:tcBorders>
            <w:vAlign w:val="bottom"/>
          </w:tcPr>
          <w:p w:rsidR="000B48A4" w:rsidRPr="00831BAA" w:rsidRDefault="000B48A4" w:rsidP="00802C60">
            <w:pPr>
              <w:jc w:val="right"/>
              <w:rPr>
                <w:color w:val="000000"/>
                <w:szCs w:val="18"/>
              </w:rPr>
            </w:pPr>
            <w:r w:rsidRPr="00831BAA">
              <w:rPr>
                <w:color w:val="000000"/>
                <w:szCs w:val="18"/>
              </w:rPr>
              <w:t>-0.2506</w:t>
            </w:r>
          </w:p>
        </w:tc>
        <w:tc>
          <w:tcPr>
            <w:tcW w:w="1278" w:type="dxa"/>
            <w:tcBorders>
              <w:top w:val="single" w:sz="4" w:space="0" w:color="auto"/>
            </w:tcBorders>
            <w:vAlign w:val="bottom"/>
          </w:tcPr>
          <w:p w:rsidR="000B48A4" w:rsidRPr="00831BAA" w:rsidRDefault="000B48A4" w:rsidP="00802C60">
            <w:pPr>
              <w:jc w:val="right"/>
              <w:rPr>
                <w:color w:val="000000"/>
                <w:szCs w:val="18"/>
              </w:rPr>
            </w:pPr>
            <w:r w:rsidRPr="00831BAA">
              <w:rPr>
                <w:color w:val="000000"/>
                <w:szCs w:val="18"/>
              </w:rPr>
              <w:t>-0.2535</w:t>
            </w:r>
          </w:p>
        </w:tc>
        <w:tc>
          <w:tcPr>
            <w:tcW w:w="1300" w:type="dxa"/>
            <w:tcBorders>
              <w:top w:val="single" w:sz="4" w:space="0" w:color="auto"/>
            </w:tcBorders>
            <w:vAlign w:val="bottom"/>
          </w:tcPr>
          <w:p w:rsidR="000B48A4" w:rsidRPr="00831BAA" w:rsidRDefault="000B48A4" w:rsidP="00802C60">
            <w:pPr>
              <w:jc w:val="right"/>
              <w:rPr>
                <w:color w:val="000000"/>
                <w:szCs w:val="18"/>
              </w:rPr>
            </w:pPr>
            <w:r w:rsidRPr="00831BAA">
              <w:rPr>
                <w:color w:val="000000"/>
                <w:szCs w:val="18"/>
              </w:rPr>
              <w:t>-0.2534</w:t>
            </w:r>
          </w:p>
        </w:tc>
      </w:tr>
      <w:tr w:rsidR="000B48A4" w:rsidRPr="00831BAA" w:rsidTr="00802C60">
        <w:trPr>
          <w:gridAfter w:val="1"/>
          <w:wAfter w:w="237" w:type="dxa"/>
          <w:cantSplit/>
          <w:trHeight w:hRule="exact" w:val="317"/>
          <w:jc w:val="center"/>
        </w:trPr>
        <w:tc>
          <w:tcPr>
            <w:tcW w:w="1524" w:type="dxa"/>
          </w:tcPr>
          <w:p w:rsidR="000B48A4" w:rsidRPr="00831BAA" w:rsidRDefault="000B48A4" w:rsidP="00802C60">
            <w:pPr>
              <w:pStyle w:val="Els-table-text"/>
              <w:keepNext w:val="0"/>
              <w:widowControl w:val="0"/>
              <w:rPr>
                <w:sz w:val="20"/>
              </w:rPr>
            </w:pPr>
            <w:r w:rsidRPr="00831BAA">
              <w:rPr>
                <w:sz w:val="20"/>
              </w:rPr>
              <w:t>Uniform</w:t>
            </w:r>
          </w:p>
        </w:tc>
        <w:tc>
          <w:tcPr>
            <w:tcW w:w="1385" w:type="dxa"/>
            <w:vAlign w:val="bottom"/>
          </w:tcPr>
          <w:p w:rsidR="000B48A4" w:rsidRPr="00831BAA" w:rsidRDefault="000B48A4" w:rsidP="00802C60">
            <w:pPr>
              <w:jc w:val="right"/>
              <w:rPr>
                <w:color w:val="000000"/>
                <w:szCs w:val="18"/>
              </w:rPr>
            </w:pPr>
            <w:r w:rsidRPr="00831BAA">
              <w:rPr>
                <w:color w:val="000000"/>
                <w:szCs w:val="18"/>
              </w:rPr>
              <w:t>-0.3455</w:t>
            </w:r>
          </w:p>
        </w:tc>
        <w:tc>
          <w:tcPr>
            <w:tcW w:w="1249" w:type="dxa"/>
            <w:gridSpan w:val="3"/>
            <w:vAlign w:val="bottom"/>
          </w:tcPr>
          <w:p w:rsidR="000B48A4" w:rsidRPr="00831BAA" w:rsidRDefault="000B48A4" w:rsidP="00802C60">
            <w:pPr>
              <w:jc w:val="right"/>
              <w:rPr>
                <w:color w:val="000000"/>
                <w:szCs w:val="18"/>
              </w:rPr>
            </w:pPr>
            <w:r w:rsidRPr="00831BAA">
              <w:rPr>
                <w:color w:val="000000"/>
                <w:szCs w:val="18"/>
              </w:rPr>
              <w:t>-0.3520</w:t>
            </w:r>
          </w:p>
        </w:tc>
        <w:tc>
          <w:tcPr>
            <w:tcW w:w="1163" w:type="dxa"/>
            <w:gridSpan w:val="2"/>
            <w:vAlign w:val="bottom"/>
          </w:tcPr>
          <w:p w:rsidR="000B48A4" w:rsidRPr="00831BAA" w:rsidRDefault="000B48A4" w:rsidP="00802C60">
            <w:pPr>
              <w:jc w:val="center"/>
              <w:rPr>
                <w:color w:val="000000"/>
                <w:szCs w:val="18"/>
              </w:rPr>
            </w:pPr>
            <w:r w:rsidRPr="00831BAA">
              <w:rPr>
                <w:color w:val="000000"/>
                <w:szCs w:val="18"/>
              </w:rPr>
              <w:t>-0.3399</w:t>
            </w:r>
          </w:p>
        </w:tc>
        <w:tc>
          <w:tcPr>
            <w:tcW w:w="1278" w:type="dxa"/>
            <w:vAlign w:val="bottom"/>
          </w:tcPr>
          <w:p w:rsidR="000B48A4" w:rsidRPr="00831BAA" w:rsidRDefault="000B48A4" w:rsidP="00802C60">
            <w:pPr>
              <w:jc w:val="right"/>
              <w:rPr>
                <w:color w:val="000000"/>
                <w:szCs w:val="18"/>
              </w:rPr>
            </w:pPr>
            <w:r w:rsidRPr="00831BAA">
              <w:rPr>
                <w:color w:val="000000"/>
                <w:szCs w:val="18"/>
              </w:rPr>
              <w:t>-0.3467</w:t>
            </w:r>
          </w:p>
        </w:tc>
        <w:tc>
          <w:tcPr>
            <w:tcW w:w="1300" w:type="dxa"/>
            <w:vAlign w:val="bottom"/>
          </w:tcPr>
          <w:p w:rsidR="000B48A4" w:rsidRPr="00831BAA" w:rsidRDefault="000B48A4" w:rsidP="00802C60">
            <w:pPr>
              <w:jc w:val="right"/>
              <w:rPr>
                <w:color w:val="000000"/>
                <w:szCs w:val="18"/>
              </w:rPr>
            </w:pPr>
            <w:r w:rsidRPr="00831BAA">
              <w:rPr>
                <w:color w:val="000000"/>
                <w:szCs w:val="18"/>
              </w:rPr>
              <w:t>-0.3472</w:t>
            </w:r>
          </w:p>
        </w:tc>
      </w:tr>
      <w:tr w:rsidR="000B48A4" w:rsidRPr="00831BAA" w:rsidTr="00802C60">
        <w:trPr>
          <w:gridAfter w:val="1"/>
          <w:wAfter w:w="237" w:type="dxa"/>
          <w:cantSplit/>
          <w:trHeight w:hRule="exact" w:val="317"/>
          <w:jc w:val="center"/>
        </w:trPr>
        <w:tc>
          <w:tcPr>
            <w:tcW w:w="1524" w:type="dxa"/>
          </w:tcPr>
          <w:p w:rsidR="000B48A4" w:rsidRPr="00831BAA" w:rsidRDefault="000B48A4" w:rsidP="00802C60">
            <w:pPr>
              <w:pStyle w:val="Els-table-text"/>
              <w:keepNext w:val="0"/>
              <w:widowControl w:val="0"/>
              <w:rPr>
                <w:sz w:val="20"/>
              </w:rPr>
            </w:pPr>
            <w:r w:rsidRPr="00831BAA">
              <w:rPr>
                <w:sz w:val="20"/>
              </w:rPr>
              <w:t>Poisson</w:t>
            </w:r>
          </w:p>
        </w:tc>
        <w:tc>
          <w:tcPr>
            <w:tcW w:w="1385" w:type="dxa"/>
            <w:vAlign w:val="bottom"/>
          </w:tcPr>
          <w:p w:rsidR="000B48A4" w:rsidRPr="00831BAA" w:rsidRDefault="000B48A4" w:rsidP="00802C60">
            <w:pPr>
              <w:jc w:val="right"/>
              <w:rPr>
                <w:color w:val="000000"/>
                <w:szCs w:val="18"/>
              </w:rPr>
            </w:pPr>
            <w:r w:rsidRPr="00831BAA">
              <w:rPr>
                <w:color w:val="000000"/>
                <w:szCs w:val="18"/>
              </w:rPr>
              <w:t>-0.4566</w:t>
            </w:r>
          </w:p>
        </w:tc>
        <w:tc>
          <w:tcPr>
            <w:tcW w:w="1249" w:type="dxa"/>
            <w:gridSpan w:val="3"/>
            <w:vAlign w:val="bottom"/>
          </w:tcPr>
          <w:p w:rsidR="000B48A4" w:rsidRPr="00831BAA" w:rsidRDefault="000B48A4" w:rsidP="00802C60">
            <w:pPr>
              <w:jc w:val="right"/>
              <w:rPr>
                <w:color w:val="000000"/>
                <w:szCs w:val="18"/>
              </w:rPr>
            </w:pPr>
            <w:r w:rsidRPr="00831BAA">
              <w:rPr>
                <w:color w:val="000000"/>
                <w:szCs w:val="18"/>
              </w:rPr>
              <w:t>-0.4597</w:t>
            </w:r>
          </w:p>
        </w:tc>
        <w:tc>
          <w:tcPr>
            <w:tcW w:w="1163" w:type="dxa"/>
            <w:gridSpan w:val="2"/>
            <w:vAlign w:val="bottom"/>
          </w:tcPr>
          <w:p w:rsidR="000B48A4" w:rsidRPr="00831BAA" w:rsidRDefault="000B48A4" w:rsidP="00802C60">
            <w:pPr>
              <w:jc w:val="right"/>
              <w:rPr>
                <w:color w:val="000000"/>
                <w:szCs w:val="18"/>
              </w:rPr>
            </w:pPr>
            <w:r w:rsidRPr="00831BAA">
              <w:rPr>
                <w:color w:val="000000"/>
                <w:szCs w:val="18"/>
              </w:rPr>
              <w:t>-0.4597</w:t>
            </w:r>
          </w:p>
        </w:tc>
        <w:tc>
          <w:tcPr>
            <w:tcW w:w="1278" w:type="dxa"/>
            <w:vAlign w:val="bottom"/>
          </w:tcPr>
          <w:p w:rsidR="000B48A4" w:rsidRPr="00831BAA" w:rsidRDefault="000B48A4" w:rsidP="00802C60">
            <w:pPr>
              <w:jc w:val="right"/>
              <w:rPr>
                <w:color w:val="000000"/>
                <w:szCs w:val="18"/>
              </w:rPr>
            </w:pPr>
            <w:r w:rsidRPr="00831BAA">
              <w:rPr>
                <w:color w:val="000000"/>
                <w:szCs w:val="18"/>
              </w:rPr>
              <w:t>-0.4543</w:t>
            </w:r>
          </w:p>
        </w:tc>
        <w:tc>
          <w:tcPr>
            <w:tcW w:w="1300" w:type="dxa"/>
            <w:vAlign w:val="bottom"/>
          </w:tcPr>
          <w:p w:rsidR="000B48A4" w:rsidRPr="00831BAA" w:rsidRDefault="000B48A4" w:rsidP="00802C60">
            <w:pPr>
              <w:jc w:val="right"/>
              <w:rPr>
                <w:color w:val="000000"/>
                <w:szCs w:val="18"/>
              </w:rPr>
            </w:pPr>
            <w:r w:rsidRPr="00831BAA">
              <w:rPr>
                <w:color w:val="000000"/>
                <w:szCs w:val="18"/>
              </w:rPr>
              <w:t>-0.4566</w:t>
            </w:r>
          </w:p>
        </w:tc>
      </w:tr>
      <w:tr w:rsidR="000B48A4" w:rsidRPr="00831BAA" w:rsidTr="00802C60">
        <w:trPr>
          <w:gridAfter w:val="1"/>
          <w:wAfter w:w="237" w:type="dxa"/>
          <w:cantSplit/>
          <w:trHeight w:hRule="exact" w:val="317"/>
          <w:jc w:val="center"/>
        </w:trPr>
        <w:tc>
          <w:tcPr>
            <w:tcW w:w="1524" w:type="dxa"/>
          </w:tcPr>
          <w:p w:rsidR="000B48A4" w:rsidRPr="00831BAA" w:rsidRDefault="000B48A4" w:rsidP="00802C60">
            <w:pPr>
              <w:pStyle w:val="Els-table-text"/>
              <w:keepNext w:val="0"/>
              <w:widowControl w:val="0"/>
              <w:rPr>
                <w:sz w:val="20"/>
              </w:rPr>
            </w:pPr>
            <w:r w:rsidRPr="00831BAA">
              <w:rPr>
                <w:sz w:val="20"/>
              </w:rPr>
              <w:t>Inverse Poisson</w:t>
            </w:r>
          </w:p>
        </w:tc>
        <w:tc>
          <w:tcPr>
            <w:tcW w:w="1385" w:type="dxa"/>
            <w:vAlign w:val="bottom"/>
          </w:tcPr>
          <w:p w:rsidR="000B48A4" w:rsidRPr="00831BAA" w:rsidRDefault="000B48A4" w:rsidP="00802C60">
            <w:pPr>
              <w:jc w:val="right"/>
              <w:rPr>
                <w:color w:val="000000"/>
                <w:szCs w:val="18"/>
              </w:rPr>
            </w:pPr>
            <w:r w:rsidRPr="00831BAA">
              <w:rPr>
                <w:color w:val="000000"/>
                <w:szCs w:val="18"/>
              </w:rPr>
              <w:t>-0.0190</w:t>
            </w:r>
          </w:p>
        </w:tc>
        <w:tc>
          <w:tcPr>
            <w:tcW w:w="1249" w:type="dxa"/>
            <w:gridSpan w:val="3"/>
            <w:vAlign w:val="bottom"/>
          </w:tcPr>
          <w:p w:rsidR="000B48A4" w:rsidRPr="00831BAA" w:rsidRDefault="000B48A4" w:rsidP="00802C60">
            <w:pPr>
              <w:jc w:val="right"/>
              <w:rPr>
                <w:color w:val="000000"/>
                <w:szCs w:val="18"/>
              </w:rPr>
            </w:pPr>
            <w:r w:rsidRPr="00831BAA">
              <w:rPr>
                <w:color w:val="000000"/>
                <w:szCs w:val="18"/>
              </w:rPr>
              <w:t>-0.0196</w:t>
            </w:r>
          </w:p>
        </w:tc>
        <w:tc>
          <w:tcPr>
            <w:tcW w:w="1163" w:type="dxa"/>
            <w:gridSpan w:val="2"/>
            <w:vAlign w:val="bottom"/>
          </w:tcPr>
          <w:p w:rsidR="000B48A4" w:rsidRPr="00831BAA" w:rsidRDefault="000B48A4" w:rsidP="00802C60">
            <w:pPr>
              <w:jc w:val="right"/>
              <w:rPr>
                <w:color w:val="000000"/>
                <w:szCs w:val="18"/>
              </w:rPr>
            </w:pPr>
            <w:r w:rsidRPr="00831BAA">
              <w:rPr>
                <w:color w:val="000000"/>
                <w:szCs w:val="18"/>
              </w:rPr>
              <w:t>-0.0168</w:t>
            </w:r>
          </w:p>
        </w:tc>
        <w:tc>
          <w:tcPr>
            <w:tcW w:w="1278" w:type="dxa"/>
            <w:vAlign w:val="bottom"/>
          </w:tcPr>
          <w:p w:rsidR="000B48A4" w:rsidRPr="00831BAA" w:rsidRDefault="000B48A4" w:rsidP="00802C60">
            <w:pPr>
              <w:jc w:val="right"/>
              <w:rPr>
                <w:color w:val="000000"/>
                <w:szCs w:val="18"/>
              </w:rPr>
            </w:pPr>
            <w:r w:rsidRPr="00831BAA">
              <w:rPr>
                <w:color w:val="000000"/>
                <w:szCs w:val="18"/>
              </w:rPr>
              <w:t>-0.0195</w:t>
            </w:r>
          </w:p>
        </w:tc>
        <w:tc>
          <w:tcPr>
            <w:tcW w:w="1300" w:type="dxa"/>
            <w:vAlign w:val="bottom"/>
          </w:tcPr>
          <w:p w:rsidR="000B48A4" w:rsidRPr="00831BAA" w:rsidRDefault="000B48A4" w:rsidP="00802C60">
            <w:pPr>
              <w:jc w:val="right"/>
              <w:rPr>
                <w:color w:val="000000"/>
                <w:szCs w:val="18"/>
              </w:rPr>
            </w:pPr>
            <w:r w:rsidRPr="00831BAA">
              <w:rPr>
                <w:color w:val="000000"/>
                <w:szCs w:val="18"/>
              </w:rPr>
              <w:t>-0.0203</w:t>
            </w:r>
          </w:p>
        </w:tc>
      </w:tr>
    </w:tbl>
    <w:p w:rsidR="000B48A4" w:rsidRPr="00831BAA" w:rsidRDefault="000B48A4" w:rsidP="000B48A4">
      <w:pPr>
        <w:rPr>
          <w:b/>
        </w:rPr>
      </w:pPr>
    </w:p>
    <w:p w:rsidR="000B48A4" w:rsidRPr="00D52C55" w:rsidRDefault="000B48A4" w:rsidP="000B48A4">
      <w:r>
        <w:t xml:space="preserve">Thus, it is clear that these average decay rates differ consistently, and that they are quite stable once activation has been set. Further, the decay rate from the random activation process closely tracks the theoretical rate of -1/4. The obvious conclusion that the runs are different can be confirmed by a Fisher Exact test of any of the five runs compared with any other of the five runs would give a </w:t>
      </w:r>
      <w:r>
        <w:rPr>
          <w:i/>
        </w:rPr>
        <w:t>p</w:t>
      </w:r>
      <w:r>
        <w:t xml:space="preserve">-value of 0.004. (This could have easily been driven smaller with more runs, but the outcome is rather obvious from </w:t>
      </w:r>
      <w:r w:rsidR="00A042FF">
        <w:fldChar w:fldCharType="begin"/>
      </w:r>
      <w:r>
        <w:instrText xml:space="preserve"> REF _Ref370976519 \h </w:instrText>
      </w:r>
      <w:r w:rsidR="00A042FF">
        <w:fldChar w:fldCharType="separate"/>
      </w:r>
      <w:r>
        <w:t xml:space="preserve">Table </w:t>
      </w:r>
      <w:r>
        <w:rPr>
          <w:noProof/>
        </w:rPr>
        <w:t>9</w:t>
      </w:r>
      <w:r w:rsidR="00A042FF">
        <w:fldChar w:fldCharType="end"/>
      </w:r>
      <w:r>
        <w:t xml:space="preserve"> and </w:t>
      </w:r>
      <w:r w:rsidR="00A042FF">
        <w:fldChar w:fldCharType="begin"/>
      </w:r>
      <w:r>
        <w:instrText xml:space="preserve"> REF _Ref370473159 \h </w:instrText>
      </w:r>
      <w:r w:rsidR="00A042FF">
        <w:fldChar w:fldCharType="separate"/>
      </w:r>
      <w:r>
        <w:t xml:space="preserve">Figure </w:t>
      </w:r>
      <w:r>
        <w:rPr>
          <w:noProof/>
        </w:rPr>
        <w:t>29</w:t>
      </w:r>
      <w:r w:rsidR="00A042FF">
        <w:fldChar w:fldCharType="end"/>
      </w:r>
      <w:r>
        <w:t>.)</w:t>
      </w:r>
    </w:p>
    <w:p w:rsidR="000B48A4" w:rsidRDefault="000B48A4" w:rsidP="001B5A90">
      <w:pPr>
        <w:pStyle w:val="Heading2"/>
      </w:pPr>
      <w:r>
        <w:t>Conclusions</w:t>
      </w:r>
    </w:p>
    <w:p w:rsidR="000B48A4" w:rsidRDefault="000B48A4" w:rsidP="000B48A4">
      <w:r>
        <w:t xml:space="preserve">The most important result was the replication – through simulation – of the theoretical result. The alignment of the random activation scheme decay rate with the theoretically-predicted value of -1/4 implies that random activation most closely represents the natural process described in the theoretical model. Agents interact in accordance with their own, internal “clocks”, unaware of the actions of other agents. It also validates the conventional definition of a ‘turn’ as a population’s worth of agent activations. While that definition might have seemed contrived, it does appear to align with the system behavior predicted by the MC model. </w:t>
      </w:r>
    </w:p>
    <w:p w:rsidR="000B48A4" w:rsidRDefault="000B48A4" w:rsidP="000B48A4">
      <w:r>
        <w:t xml:space="preserve">This result is important because it allows the use of the theory-simulation analytic paradigm. The theoretical development led to the conclusion that, given the appropriate definitions of time and standard deviation, the mean convergence rate for a wealth-averaging system should be ‘no greater than’ -1/4. Thus, as the assumptions about homogeneous, constant activation are relaxed, the impact on convergence can be observed through simulation. Simulation, therefore, can be used to extend the analytic reach of theory in such models. And, it has been shown, changing activation does impact the outcome patterns of this simple model. It is reasonable to assume that more complex models might see similar differences and experiments should be conducted to investigate such differences. </w:t>
      </w:r>
    </w:p>
    <w:p w:rsidR="000B48A4" w:rsidRDefault="000B48A4" w:rsidP="000B48A4">
      <w:r>
        <w:t xml:space="preserve">While it is important merely to show that there are differences, it is also interesting to note that the differences are not of uniform magnitude. Clearly the inverse Poisson convergence rate is very much less (in absolute value) than the other convergence rates. Inverse Poisson activation was based on the assumption that the agents with the most extreme wealth would enter the wealth-swapping process the slowest. </w:t>
      </w:r>
    </w:p>
    <w:p w:rsidR="000B48A4" w:rsidRDefault="000B48A4" w:rsidP="000B48A4">
      <w:r>
        <w:t>These results suggest that the choice of activation pattern can become an important tool for researchers attempting to simulate real-world self-organizing systems. That is, rather than treating activation as an arbitrary and confounding choice, it can become a treatment parameter for exploring various emergence phenomena. Often agent-based models are built in an attempt to mimic real-world behavior. It would not be unusual for the model-builder to grow acquire data or insights into the real-world activation patterns of individuals. This might come from theory or there may actually be empirical data. If, in the real world this data is not stationary, then the researcher would have a tool to adjust the model structure to match behavior. This is especially true in the case of endogenous or state-based activation. In fact, most intuitive expectations for real-world systems would assume that activation would be based on state: diseased individuals will interact more rarely than healthy people; wealthier people normally trade stock with greater frequency, etc. If these differences can be parameterized, the activations schemes denoted here can help create a better model.</w:t>
      </w:r>
    </w:p>
    <w:p w:rsidR="000B48A4" w:rsidRPr="00AF39F8" w:rsidRDefault="000B48A4" w:rsidP="000B48A4">
      <w:r>
        <w:t>The clustering of the convergence rates within the activation types is somewhat of a surprise, varying much less among runs with the same activation than between runs with different activation. Clearly activation has a dominant effect on this model’s variation. Thus, if one were to choose to create a model based on this construct (Leveler has been proposed as a real-world scenario for the movement of gossip across a population), then various activation schemes should be explored and reported.</w:t>
      </w:r>
    </w:p>
    <w:p w:rsidR="009E200D" w:rsidRDefault="004E7B35" w:rsidP="001B5A90">
      <w:pPr>
        <w:pStyle w:val="Heading2"/>
      </w:pPr>
      <w:r>
        <w:t>References</w:t>
      </w:r>
    </w:p>
    <w:p w:rsidR="00093C93" w:rsidRPr="00093C93" w:rsidRDefault="00A042FF" w:rsidP="00093C93">
      <w:pPr>
        <w:pStyle w:val="Bibliography"/>
      </w:pPr>
      <w:r>
        <w:fldChar w:fldCharType="begin"/>
      </w:r>
      <w:r w:rsidR="00093C93">
        <w:instrText xml:space="preserve"> ADDIN ZOTERO_BIBL {"custom":[]} CSL_BIBLIOGRAPHY </w:instrText>
      </w:r>
      <w:r>
        <w:fldChar w:fldCharType="separate"/>
      </w:r>
      <w:r w:rsidR="00093C93" w:rsidRPr="00093C93">
        <w:t>[1]</w:t>
      </w:r>
      <w:r w:rsidR="00093C93" w:rsidRPr="00093C93">
        <w:tab/>
        <w:t xml:space="preserve">A. Carbone, G. Kaniadakis, and A. M. Scarfone, “Where do we stand on econophysics?,” </w:t>
      </w:r>
      <w:r w:rsidR="00093C93" w:rsidRPr="00093C93">
        <w:rPr>
          <w:i/>
          <w:iCs/>
        </w:rPr>
        <w:t>Phys. Stat. Mech. Its Appl.</w:t>
      </w:r>
      <w:r w:rsidR="00093C93" w:rsidRPr="00093C93">
        <w:t>, vol. 382, no. 1, pp. xi–xiv, Aug. 2007.</w:t>
      </w:r>
    </w:p>
    <w:p w:rsidR="00093C93" w:rsidRPr="00093C93" w:rsidRDefault="00093C93" w:rsidP="00093C93">
      <w:pPr>
        <w:pStyle w:val="Bibliography"/>
      </w:pPr>
      <w:r w:rsidRPr="00093C93">
        <w:t>[2]</w:t>
      </w:r>
      <w:r w:rsidRPr="00093C93">
        <w:tab/>
        <w:t xml:space="preserve">Y. Gingras and C. Schinckus, “THE INSTITUTIONALIZATION OF ECONOPHYSICS IN THE SHADOW OF PHYSICS,” </w:t>
      </w:r>
      <w:r w:rsidRPr="00093C93">
        <w:rPr>
          <w:i/>
          <w:iCs/>
        </w:rPr>
        <w:t>J. Hist. Econ. Thought</w:t>
      </w:r>
      <w:r w:rsidRPr="00093C93">
        <w:t>, vol. 34, no. 01, pp. 109–130, 2012.</w:t>
      </w:r>
    </w:p>
    <w:p w:rsidR="00093C93" w:rsidRPr="00093C93" w:rsidRDefault="00093C93" w:rsidP="00093C93">
      <w:pPr>
        <w:pStyle w:val="Bibliography"/>
      </w:pPr>
      <w:r w:rsidRPr="00093C93">
        <w:t>[3]</w:t>
      </w:r>
      <w:r w:rsidRPr="00093C93">
        <w:tab/>
        <w:t>B. M. Roehner, “Fifteen years of econophysics: worries, hopes and prospects,” arXiv e-print 1004.3229, Apr. 2010.</w:t>
      </w:r>
    </w:p>
    <w:p w:rsidR="00093C93" w:rsidRPr="00093C93" w:rsidRDefault="00093C93" w:rsidP="00093C93">
      <w:pPr>
        <w:pStyle w:val="Bibliography"/>
      </w:pPr>
      <w:r w:rsidRPr="00093C93">
        <w:lastRenderedPageBreak/>
        <w:t>[4]</w:t>
      </w:r>
      <w:r w:rsidRPr="00093C93">
        <w:tab/>
        <w:t xml:space="preserve">A. Cho, “Econophysics: Still Controversial After All These Years,” </w:t>
      </w:r>
      <w:r w:rsidRPr="00093C93">
        <w:rPr>
          <w:i/>
          <w:iCs/>
        </w:rPr>
        <w:t>Science</w:t>
      </w:r>
      <w:r w:rsidRPr="00093C93">
        <w:t>, vol. 325, no. 5939, pp. 408–408, Jul. 2009.</w:t>
      </w:r>
    </w:p>
    <w:p w:rsidR="00093C93" w:rsidRPr="00093C93" w:rsidRDefault="00093C93" w:rsidP="00093C93">
      <w:pPr>
        <w:pStyle w:val="Bibliography"/>
      </w:pPr>
      <w:r w:rsidRPr="00093C93">
        <w:t>[5]</w:t>
      </w:r>
      <w:r w:rsidRPr="00093C93">
        <w:tab/>
        <w:t xml:space="preserve">K. Sznajd-Weron and R. Weron, “A simple model of price formation,” </w:t>
      </w:r>
      <w:r w:rsidRPr="00093C93">
        <w:rPr>
          <w:i/>
          <w:iCs/>
        </w:rPr>
        <w:t>Int. J. Mod. Phys. C</w:t>
      </w:r>
      <w:r w:rsidRPr="00093C93">
        <w:t>, vol. 13, no. 01, pp. 115–123, 2002.</w:t>
      </w:r>
    </w:p>
    <w:p w:rsidR="00093C93" w:rsidRPr="00093C93" w:rsidRDefault="00093C93" w:rsidP="00093C93">
      <w:pPr>
        <w:pStyle w:val="Bibliography"/>
      </w:pPr>
      <w:r w:rsidRPr="00093C93">
        <w:t>[6]</w:t>
      </w:r>
      <w:r w:rsidRPr="00093C93">
        <w:tab/>
        <w:t xml:space="preserve">E. Kiesling, M. Günther, C. Stummer, and L. M. Wakolbinger, “Agent-based simulation of innovation diffusion: a review,” </w:t>
      </w:r>
      <w:r w:rsidRPr="00093C93">
        <w:rPr>
          <w:i/>
          <w:iCs/>
        </w:rPr>
        <w:t>Cent. Eur. J. Oper. Res.</w:t>
      </w:r>
      <w:r w:rsidRPr="00093C93">
        <w:t>, vol. 20, no. 2, pp. 183–230, Jun. 2012.</w:t>
      </w:r>
    </w:p>
    <w:p w:rsidR="00093C93" w:rsidRPr="00093C93" w:rsidRDefault="00093C93" w:rsidP="00093C93">
      <w:pPr>
        <w:pStyle w:val="Bibliography"/>
      </w:pPr>
      <w:r w:rsidRPr="00093C93">
        <w:t>[7]</w:t>
      </w:r>
      <w:r w:rsidRPr="00093C93">
        <w:tab/>
        <w:t xml:space="preserve">R. Cont and J.-P. Bouchaud, “HERD BEHAVIOR AND AGGREGATE FLUCTUATIONS IN FINANCIAL MARKETS,” </w:t>
      </w:r>
      <w:r w:rsidRPr="00093C93">
        <w:rPr>
          <w:i/>
          <w:iCs/>
        </w:rPr>
        <w:t>Macroecon. Dyn.</w:t>
      </w:r>
      <w:r w:rsidRPr="00093C93">
        <w:t>, vol. 4, no. 02, pp. 170–196, 2000.</w:t>
      </w:r>
    </w:p>
    <w:p w:rsidR="00093C93" w:rsidRPr="00093C93" w:rsidRDefault="00093C93" w:rsidP="00093C93">
      <w:pPr>
        <w:pStyle w:val="Bibliography"/>
      </w:pPr>
      <w:r w:rsidRPr="00093C93">
        <w:t>[8]</w:t>
      </w:r>
      <w:r w:rsidRPr="00093C93">
        <w:tab/>
        <w:t xml:space="preserve">B. B. Mandelbrot and R. L. Hudson, </w:t>
      </w:r>
      <w:r w:rsidRPr="00093C93">
        <w:rPr>
          <w:i/>
          <w:iCs/>
        </w:rPr>
        <w:t>The Misbehavior of Markets: A Fractal View of Risk, Ruin, and Reward</w:t>
      </w:r>
      <w:r w:rsidRPr="00093C93">
        <w:t>. Basic Books, 2004.</w:t>
      </w:r>
    </w:p>
    <w:p w:rsidR="00093C93" w:rsidRPr="00093C93" w:rsidRDefault="00093C93" w:rsidP="00093C93">
      <w:pPr>
        <w:pStyle w:val="Bibliography"/>
      </w:pPr>
      <w:r w:rsidRPr="00093C93">
        <w:t>[9]</w:t>
      </w:r>
      <w:r w:rsidRPr="00093C93">
        <w:tab/>
        <w:t xml:space="preserve">B. J. West, E. L. Geneston, and P. Grigolini, “Maximizing information exchange between complex networks,” </w:t>
      </w:r>
      <w:r w:rsidRPr="00093C93">
        <w:rPr>
          <w:i/>
          <w:iCs/>
        </w:rPr>
        <w:t>Phys. Reports</w:t>
      </w:r>
      <w:r w:rsidRPr="00093C93">
        <w:t>, vol. 468, no. 1–3, pp. 1–99, Oct. 2008.</w:t>
      </w:r>
    </w:p>
    <w:p w:rsidR="00093C93" w:rsidRPr="00093C93" w:rsidRDefault="00093C93" w:rsidP="00093C93">
      <w:pPr>
        <w:pStyle w:val="Bibliography"/>
      </w:pPr>
      <w:r w:rsidRPr="00093C93">
        <w:t>[10]</w:t>
      </w:r>
      <w:r w:rsidRPr="00093C93">
        <w:tab/>
        <w:t xml:space="preserve">L. R. Weingart, M. J. Prietula, E. B. Hyder, and C. R. Genovese, “Knowledge and the Sequential Processes of Negotiation: A Markov Chain Analysis of Response-in-Kind,” </w:t>
      </w:r>
      <w:r w:rsidRPr="00093C93">
        <w:rPr>
          <w:i/>
          <w:iCs/>
        </w:rPr>
        <w:t>J. Exp. Soc. Psychol.</w:t>
      </w:r>
      <w:r w:rsidRPr="00093C93">
        <w:t>, vol. 35, no. 4, pp. 366–393, Jul. 1999.</w:t>
      </w:r>
    </w:p>
    <w:p w:rsidR="00093C93" w:rsidRPr="00093C93" w:rsidRDefault="00093C93" w:rsidP="00093C93">
      <w:pPr>
        <w:pStyle w:val="Bibliography"/>
      </w:pPr>
      <w:r w:rsidRPr="00093C93">
        <w:t>[11]</w:t>
      </w:r>
      <w:r w:rsidRPr="00093C93">
        <w:tab/>
        <w:t xml:space="preserve">K. B. Laskey and J. W. Myers, “Population Markov Chain Monte Carlo,” </w:t>
      </w:r>
      <w:r w:rsidRPr="00093C93">
        <w:rPr>
          <w:i/>
          <w:iCs/>
        </w:rPr>
        <w:t>Mach. Learn.</w:t>
      </w:r>
      <w:r w:rsidRPr="00093C93">
        <w:t>, vol. 50, no. 1–2, pp. 175–196, Jan. 2003.</w:t>
      </w:r>
    </w:p>
    <w:p w:rsidR="00093C93" w:rsidRPr="00093C93" w:rsidRDefault="00093C93" w:rsidP="00093C93">
      <w:pPr>
        <w:pStyle w:val="Bibliography"/>
      </w:pPr>
      <w:r w:rsidRPr="00093C93">
        <w:t>[12]</w:t>
      </w:r>
      <w:r w:rsidRPr="00093C93">
        <w:tab/>
        <w:t xml:space="preserve">S. H. Lee and M. West, “Convergence of the Markov Chain Distributed Particle Filter (MCDPF),” </w:t>
      </w:r>
      <w:r w:rsidRPr="00093C93">
        <w:rPr>
          <w:i/>
          <w:iCs/>
        </w:rPr>
        <w:t>IEEE Trans. Signal Process.</w:t>
      </w:r>
      <w:r w:rsidRPr="00093C93">
        <w:t>, vol. 61, no. 4, pp. 801–812, 2013.</w:t>
      </w:r>
    </w:p>
    <w:p w:rsidR="00093C93" w:rsidRPr="00093C93" w:rsidRDefault="00093C93" w:rsidP="00093C93">
      <w:pPr>
        <w:pStyle w:val="Bibliography"/>
      </w:pPr>
      <w:r w:rsidRPr="00093C93">
        <w:t>[13]</w:t>
      </w:r>
      <w:r w:rsidRPr="00093C93">
        <w:tab/>
        <w:t xml:space="preserve">K. Cai and H. Ishii, “Convergence time analysis of quantized gossip consensus on digraphs,” </w:t>
      </w:r>
      <w:r w:rsidRPr="00093C93">
        <w:rPr>
          <w:i/>
          <w:iCs/>
        </w:rPr>
        <w:t>Automatica</w:t>
      </w:r>
      <w:r w:rsidRPr="00093C93">
        <w:t>, vol. 48, no. 9, pp. 2344–2351, Sep. 2012.</w:t>
      </w:r>
    </w:p>
    <w:p w:rsidR="00093C93" w:rsidRPr="00093C93" w:rsidRDefault="00093C93" w:rsidP="00093C93">
      <w:pPr>
        <w:pStyle w:val="Bibliography"/>
      </w:pPr>
      <w:r w:rsidRPr="00093C93">
        <w:t>[14]</w:t>
      </w:r>
      <w:r w:rsidRPr="00093C93">
        <w:tab/>
        <w:t xml:space="preserve">D. Aldous and D. Lanoue, “Interacting Particle Systems as Stochastic Social Dynamics,” </w:t>
      </w:r>
      <w:r w:rsidRPr="00093C93">
        <w:rPr>
          <w:i/>
          <w:iCs/>
        </w:rPr>
        <w:t>Probab. Surv.</w:t>
      </w:r>
      <w:r w:rsidRPr="00093C93">
        <w:t>, vol. 9, pp. 90–102, 2012.</w:t>
      </w:r>
    </w:p>
    <w:p w:rsidR="00093C93" w:rsidRPr="00093C93" w:rsidRDefault="00093C93" w:rsidP="00093C93">
      <w:pPr>
        <w:pStyle w:val="Bibliography"/>
      </w:pPr>
      <w:r w:rsidRPr="00093C93">
        <w:t>[15]</w:t>
      </w:r>
      <w:r w:rsidRPr="00093C93">
        <w:tab/>
        <w:t>D. Aldous, “IPS as Stochastic Social Dynamics - PowerPoint.pdf,” 05-Apr-2013.</w:t>
      </w:r>
    </w:p>
    <w:p w:rsidR="00093C93" w:rsidRPr="00093C93" w:rsidRDefault="00093C93" w:rsidP="00093C93">
      <w:pPr>
        <w:pStyle w:val="Bibliography"/>
      </w:pPr>
      <w:r w:rsidRPr="00093C93">
        <w:t>[16]</w:t>
      </w:r>
      <w:r w:rsidRPr="00093C93">
        <w:tab/>
        <w:t xml:space="preserve">J. R. Norris, </w:t>
      </w:r>
      <w:r w:rsidRPr="00093C93">
        <w:rPr>
          <w:i/>
          <w:iCs/>
        </w:rPr>
        <w:t>Markov Chains</w:t>
      </w:r>
      <w:r w:rsidRPr="00093C93">
        <w:t>. Cambridge University Press, 1998.</w:t>
      </w:r>
    </w:p>
    <w:p w:rsidR="00093C93" w:rsidRPr="00093C93" w:rsidRDefault="00093C93" w:rsidP="00093C93">
      <w:pPr>
        <w:pStyle w:val="Bibliography"/>
      </w:pPr>
      <w:r w:rsidRPr="00093C93">
        <w:t>[17]</w:t>
      </w:r>
      <w:r w:rsidRPr="00093C93">
        <w:tab/>
        <w:t xml:space="preserve">J. Herrmann, W. Rand, B. Schein, and N. Vodopivec, “An Agent-Based Model of Urgent Diff usion in Social Media,” </w:t>
      </w:r>
      <w:r w:rsidRPr="00093C93">
        <w:rPr>
          <w:i/>
          <w:iCs/>
        </w:rPr>
        <w:t>Available SSRN 2297167</w:t>
      </w:r>
      <w:r w:rsidRPr="00093C93">
        <w:t>, 2013.</w:t>
      </w:r>
    </w:p>
    <w:p w:rsidR="00093C93" w:rsidRPr="00093C93" w:rsidRDefault="00093C93" w:rsidP="00093C93">
      <w:pPr>
        <w:pStyle w:val="Bibliography"/>
      </w:pPr>
      <w:r w:rsidRPr="00093C93">
        <w:t>[18]</w:t>
      </w:r>
      <w:r w:rsidRPr="00093C93">
        <w:tab/>
        <w:t xml:space="preserve">C. Hui, M. Goldberg, M. Magdon-Ismail, and W. A. Wallace, “Simulating the Diffusion of Information: An Agent-Based Modeling Approach,” </w:t>
      </w:r>
      <w:r w:rsidRPr="00093C93">
        <w:rPr>
          <w:i/>
          <w:iCs/>
        </w:rPr>
        <w:t>Int. J. Agent Technol. Syst.</w:t>
      </w:r>
      <w:r w:rsidRPr="00093C93">
        <w:t>, vol. 2, no. 3, pp. 31–46, 33 2010.</w:t>
      </w:r>
    </w:p>
    <w:p w:rsidR="00093C93" w:rsidRPr="00093C93" w:rsidRDefault="00093C93" w:rsidP="00093C93">
      <w:pPr>
        <w:pStyle w:val="Bibliography"/>
      </w:pPr>
      <w:r w:rsidRPr="00093C93">
        <w:t>[19]</w:t>
      </w:r>
      <w:r w:rsidRPr="00093C93">
        <w:tab/>
        <w:t>M. Rosvall and K. Sneppen, “Modeling Dynamics of Information Networks,” arXiv e-print cond-mat/0308399, Aug. 2003.</w:t>
      </w:r>
    </w:p>
    <w:p w:rsidR="00093C93" w:rsidRPr="00093C93" w:rsidRDefault="00093C93" w:rsidP="00093C93">
      <w:pPr>
        <w:pStyle w:val="Bibliography"/>
      </w:pPr>
      <w:r w:rsidRPr="00093C93">
        <w:t>[20]</w:t>
      </w:r>
      <w:r w:rsidRPr="00093C93">
        <w:tab/>
        <w:t xml:space="preserve">X. Cui and T. E. Potok, “A Particle Swarm Social Model for Multi-Agent Based Insurgency Warfare Simulation,” in </w:t>
      </w:r>
      <w:r w:rsidRPr="00093C93">
        <w:rPr>
          <w:i/>
          <w:iCs/>
        </w:rPr>
        <w:t>5th ACIS International Conference on Software Engineering Research, Management Applications, 2007. SERA 2007</w:t>
      </w:r>
      <w:r w:rsidRPr="00093C93">
        <w:t>, 2007, pp. 177–183.</w:t>
      </w:r>
    </w:p>
    <w:p w:rsidR="004E7B35" w:rsidRDefault="00A042FF">
      <w:r>
        <w:fldChar w:fldCharType="end"/>
      </w:r>
    </w:p>
    <w:sectPr w:rsidR="004E7B35" w:rsidSect="00630997">
      <w:pgSz w:w="11907" w:h="16839" w:code="9"/>
      <w:pgMar w:top="1440" w:right="261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F41B15"/>
    <w:multiLevelType w:val="hybridMultilevel"/>
    <w:tmpl w:val="41F267E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
    <w:nsid w:val="3F446519"/>
    <w:multiLevelType w:val="hybridMultilevel"/>
    <w:tmpl w:val="57B66B20"/>
    <w:lvl w:ilvl="0" w:tplc="98F8E9E4">
      <w:start w:val="1"/>
      <w:numFmt w:val="decimal"/>
      <w:pStyle w:val="Heading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217E6E"/>
    <w:multiLevelType w:val="hybridMultilevel"/>
    <w:tmpl w:val="41D2A48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nsid w:val="7FA5444C"/>
    <w:multiLevelType w:val="hybridMultilevel"/>
    <w:tmpl w:val="C018EA6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proofState w:spelling="clean"/>
  <w:defaultTabStop w:val="720"/>
  <w:drawingGridHorizontalSpacing w:val="90"/>
  <w:displayHorizontalDrawingGridEvery w:val="2"/>
  <w:characterSpacingControl w:val="doNotCompress"/>
  <w:compat/>
  <w:rsids>
    <w:rsidRoot w:val="000B48A4"/>
    <w:rsid w:val="000000E9"/>
    <w:rsid w:val="00000718"/>
    <w:rsid w:val="00000793"/>
    <w:rsid w:val="000023DC"/>
    <w:rsid w:val="00002483"/>
    <w:rsid w:val="00002D22"/>
    <w:rsid w:val="00003434"/>
    <w:rsid w:val="0000458F"/>
    <w:rsid w:val="00004EFC"/>
    <w:rsid w:val="000053C8"/>
    <w:rsid w:val="000072E7"/>
    <w:rsid w:val="00007548"/>
    <w:rsid w:val="000079E8"/>
    <w:rsid w:val="00011737"/>
    <w:rsid w:val="000126B8"/>
    <w:rsid w:val="000128A2"/>
    <w:rsid w:val="00013ADB"/>
    <w:rsid w:val="00014279"/>
    <w:rsid w:val="0001456E"/>
    <w:rsid w:val="00016CD0"/>
    <w:rsid w:val="00017C61"/>
    <w:rsid w:val="00020938"/>
    <w:rsid w:val="000212B1"/>
    <w:rsid w:val="00021E38"/>
    <w:rsid w:val="0002422D"/>
    <w:rsid w:val="00024B2D"/>
    <w:rsid w:val="00025A42"/>
    <w:rsid w:val="00025B94"/>
    <w:rsid w:val="00025E8F"/>
    <w:rsid w:val="00026222"/>
    <w:rsid w:val="000269B2"/>
    <w:rsid w:val="00026FDF"/>
    <w:rsid w:val="0002754A"/>
    <w:rsid w:val="00027716"/>
    <w:rsid w:val="00027A21"/>
    <w:rsid w:val="000302E5"/>
    <w:rsid w:val="00030BCC"/>
    <w:rsid w:val="00030FCF"/>
    <w:rsid w:val="00032DC5"/>
    <w:rsid w:val="00033BD9"/>
    <w:rsid w:val="00033EF2"/>
    <w:rsid w:val="000359D1"/>
    <w:rsid w:val="00035D70"/>
    <w:rsid w:val="000368B8"/>
    <w:rsid w:val="00037A1C"/>
    <w:rsid w:val="00040A6F"/>
    <w:rsid w:val="00040E0C"/>
    <w:rsid w:val="000417C7"/>
    <w:rsid w:val="00043804"/>
    <w:rsid w:val="00043AF3"/>
    <w:rsid w:val="0004420D"/>
    <w:rsid w:val="000447B2"/>
    <w:rsid w:val="0004497C"/>
    <w:rsid w:val="000460AC"/>
    <w:rsid w:val="00046FB5"/>
    <w:rsid w:val="00050F16"/>
    <w:rsid w:val="000520FC"/>
    <w:rsid w:val="00052272"/>
    <w:rsid w:val="0005405C"/>
    <w:rsid w:val="0005489F"/>
    <w:rsid w:val="00055BCD"/>
    <w:rsid w:val="00057B80"/>
    <w:rsid w:val="00061A33"/>
    <w:rsid w:val="000625E9"/>
    <w:rsid w:val="0006280F"/>
    <w:rsid w:val="000638D0"/>
    <w:rsid w:val="00063F09"/>
    <w:rsid w:val="00064006"/>
    <w:rsid w:val="0006420B"/>
    <w:rsid w:val="0006506E"/>
    <w:rsid w:val="0006527F"/>
    <w:rsid w:val="00065340"/>
    <w:rsid w:val="00065D28"/>
    <w:rsid w:val="000700A6"/>
    <w:rsid w:val="0007098E"/>
    <w:rsid w:val="00070E07"/>
    <w:rsid w:val="000719DD"/>
    <w:rsid w:val="00072292"/>
    <w:rsid w:val="00072C23"/>
    <w:rsid w:val="00072FF0"/>
    <w:rsid w:val="000730F2"/>
    <w:rsid w:val="00073A2A"/>
    <w:rsid w:val="0007455C"/>
    <w:rsid w:val="00075183"/>
    <w:rsid w:val="00075C93"/>
    <w:rsid w:val="00075D45"/>
    <w:rsid w:val="00076DC7"/>
    <w:rsid w:val="00077556"/>
    <w:rsid w:val="00077C27"/>
    <w:rsid w:val="00080BAE"/>
    <w:rsid w:val="00080C62"/>
    <w:rsid w:val="00081E74"/>
    <w:rsid w:val="00082D26"/>
    <w:rsid w:val="0008369A"/>
    <w:rsid w:val="00083FE0"/>
    <w:rsid w:val="00084F5E"/>
    <w:rsid w:val="00085006"/>
    <w:rsid w:val="00085C3E"/>
    <w:rsid w:val="000866A8"/>
    <w:rsid w:val="00087DE8"/>
    <w:rsid w:val="00090178"/>
    <w:rsid w:val="00090799"/>
    <w:rsid w:val="0009110A"/>
    <w:rsid w:val="0009142F"/>
    <w:rsid w:val="000921D3"/>
    <w:rsid w:val="000929D4"/>
    <w:rsid w:val="000936DA"/>
    <w:rsid w:val="00093984"/>
    <w:rsid w:val="00093C93"/>
    <w:rsid w:val="00094766"/>
    <w:rsid w:val="00094EDD"/>
    <w:rsid w:val="000956D8"/>
    <w:rsid w:val="00095FBD"/>
    <w:rsid w:val="000967C0"/>
    <w:rsid w:val="00097C04"/>
    <w:rsid w:val="00097C22"/>
    <w:rsid w:val="00097D3F"/>
    <w:rsid w:val="00097EC4"/>
    <w:rsid w:val="000A0A26"/>
    <w:rsid w:val="000A1ABC"/>
    <w:rsid w:val="000A229F"/>
    <w:rsid w:val="000A22A6"/>
    <w:rsid w:val="000A3A6E"/>
    <w:rsid w:val="000A3DF3"/>
    <w:rsid w:val="000A5236"/>
    <w:rsid w:val="000B0996"/>
    <w:rsid w:val="000B09FA"/>
    <w:rsid w:val="000B22E2"/>
    <w:rsid w:val="000B37AB"/>
    <w:rsid w:val="000B37D4"/>
    <w:rsid w:val="000B3C1B"/>
    <w:rsid w:val="000B3F71"/>
    <w:rsid w:val="000B48A4"/>
    <w:rsid w:val="000B4AD4"/>
    <w:rsid w:val="000B5BB1"/>
    <w:rsid w:val="000B6077"/>
    <w:rsid w:val="000B73E2"/>
    <w:rsid w:val="000B78CC"/>
    <w:rsid w:val="000B7C1D"/>
    <w:rsid w:val="000C0229"/>
    <w:rsid w:val="000C0402"/>
    <w:rsid w:val="000C0727"/>
    <w:rsid w:val="000C14B3"/>
    <w:rsid w:val="000C1A02"/>
    <w:rsid w:val="000C388C"/>
    <w:rsid w:val="000C3F2F"/>
    <w:rsid w:val="000C5F49"/>
    <w:rsid w:val="000C5F50"/>
    <w:rsid w:val="000C6D82"/>
    <w:rsid w:val="000C73D0"/>
    <w:rsid w:val="000C7B5E"/>
    <w:rsid w:val="000D03D6"/>
    <w:rsid w:val="000D26AE"/>
    <w:rsid w:val="000D26DC"/>
    <w:rsid w:val="000D2991"/>
    <w:rsid w:val="000D4C90"/>
    <w:rsid w:val="000D4F1D"/>
    <w:rsid w:val="000D58B7"/>
    <w:rsid w:val="000D5CC8"/>
    <w:rsid w:val="000D793F"/>
    <w:rsid w:val="000E05BF"/>
    <w:rsid w:val="000E08A8"/>
    <w:rsid w:val="000E0E6A"/>
    <w:rsid w:val="000E1BF2"/>
    <w:rsid w:val="000E2046"/>
    <w:rsid w:val="000E20D3"/>
    <w:rsid w:val="000E21C8"/>
    <w:rsid w:val="000E2B17"/>
    <w:rsid w:val="000E2FE7"/>
    <w:rsid w:val="000E3793"/>
    <w:rsid w:val="000E4D8F"/>
    <w:rsid w:val="000E4DF4"/>
    <w:rsid w:val="000E4EF6"/>
    <w:rsid w:val="000E572F"/>
    <w:rsid w:val="000E600C"/>
    <w:rsid w:val="000E7041"/>
    <w:rsid w:val="000E76C1"/>
    <w:rsid w:val="000E7AB1"/>
    <w:rsid w:val="000E7B5E"/>
    <w:rsid w:val="000F09FD"/>
    <w:rsid w:val="000F1575"/>
    <w:rsid w:val="000F20B8"/>
    <w:rsid w:val="000F351B"/>
    <w:rsid w:val="000F3B1E"/>
    <w:rsid w:val="000F430C"/>
    <w:rsid w:val="000F4BB8"/>
    <w:rsid w:val="000F4D23"/>
    <w:rsid w:val="000F5A2B"/>
    <w:rsid w:val="000F6241"/>
    <w:rsid w:val="000F689F"/>
    <w:rsid w:val="00100F2D"/>
    <w:rsid w:val="00102BFE"/>
    <w:rsid w:val="00105292"/>
    <w:rsid w:val="00106CA3"/>
    <w:rsid w:val="001074A1"/>
    <w:rsid w:val="00107D86"/>
    <w:rsid w:val="00107F0B"/>
    <w:rsid w:val="0011041E"/>
    <w:rsid w:val="00110490"/>
    <w:rsid w:val="001122AA"/>
    <w:rsid w:val="001137FC"/>
    <w:rsid w:val="001139B6"/>
    <w:rsid w:val="00113D36"/>
    <w:rsid w:val="001145C8"/>
    <w:rsid w:val="00114E14"/>
    <w:rsid w:val="00115095"/>
    <w:rsid w:val="001152DB"/>
    <w:rsid w:val="001168B5"/>
    <w:rsid w:val="001169A7"/>
    <w:rsid w:val="00116C10"/>
    <w:rsid w:val="001227F0"/>
    <w:rsid w:val="001266FE"/>
    <w:rsid w:val="0012704F"/>
    <w:rsid w:val="00127894"/>
    <w:rsid w:val="00127EA7"/>
    <w:rsid w:val="00130616"/>
    <w:rsid w:val="00130EE9"/>
    <w:rsid w:val="001317DC"/>
    <w:rsid w:val="001319A4"/>
    <w:rsid w:val="0013349B"/>
    <w:rsid w:val="001373BE"/>
    <w:rsid w:val="0014116E"/>
    <w:rsid w:val="001411F4"/>
    <w:rsid w:val="001429CC"/>
    <w:rsid w:val="001432F4"/>
    <w:rsid w:val="001437F8"/>
    <w:rsid w:val="00143D9C"/>
    <w:rsid w:val="00143F50"/>
    <w:rsid w:val="001459E3"/>
    <w:rsid w:val="00145B4B"/>
    <w:rsid w:val="001460C7"/>
    <w:rsid w:val="0014688C"/>
    <w:rsid w:val="001479CF"/>
    <w:rsid w:val="00147F4E"/>
    <w:rsid w:val="00150FD2"/>
    <w:rsid w:val="001513FE"/>
    <w:rsid w:val="00151C3A"/>
    <w:rsid w:val="00151F62"/>
    <w:rsid w:val="00151F9F"/>
    <w:rsid w:val="0015346D"/>
    <w:rsid w:val="00153902"/>
    <w:rsid w:val="00153B2D"/>
    <w:rsid w:val="00155544"/>
    <w:rsid w:val="00155611"/>
    <w:rsid w:val="00155674"/>
    <w:rsid w:val="001561BD"/>
    <w:rsid w:val="00156E40"/>
    <w:rsid w:val="00157B1F"/>
    <w:rsid w:val="00160B4C"/>
    <w:rsid w:val="001620C4"/>
    <w:rsid w:val="001622D9"/>
    <w:rsid w:val="00162626"/>
    <w:rsid w:val="001638FF"/>
    <w:rsid w:val="00163955"/>
    <w:rsid w:val="00164B0F"/>
    <w:rsid w:val="0016545D"/>
    <w:rsid w:val="00165B96"/>
    <w:rsid w:val="00165CE5"/>
    <w:rsid w:val="001660AA"/>
    <w:rsid w:val="001665C5"/>
    <w:rsid w:val="001668AE"/>
    <w:rsid w:val="00166F0F"/>
    <w:rsid w:val="001708FD"/>
    <w:rsid w:val="00171677"/>
    <w:rsid w:val="00171E1E"/>
    <w:rsid w:val="00172039"/>
    <w:rsid w:val="001727C0"/>
    <w:rsid w:val="00172C7C"/>
    <w:rsid w:val="00172EC0"/>
    <w:rsid w:val="00172F36"/>
    <w:rsid w:val="00172FB1"/>
    <w:rsid w:val="00173A15"/>
    <w:rsid w:val="00174405"/>
    <w:rsid w:val="0017442A"/>
    <w:rsid w:val="001748D0"/>
    <w:rsid w:val="00175343"/>
    <w:rsid w:val="0017573B"/>
    <w:rsid w:val="00175CCA"/>
    <w:rsid w:val="001760A4"/>
    <w:rsid w:val="0017766F"/>
    <w:rsid w:val="00177F98"/>
    <w:rsid w:val="001802FC"/>
    <w:rsid w:val="0018147C"/>
    <w:rsid w:val="00182295"/>
    <w:rsid w:val="001831FD"/>
    <w:rsid w:val="00183C72"/>
    <w:rsid w:val="00185140"/>
    <w:rsid w:val="0018668D"/>
    <w:rsid w:val="0019028F"/>
    <w:rsid w:val="0019103C"/>
    <w:rsid w:val="00192895"/>
    <w:rsid w:val="0019427C"/>
    <w:rsid w:val="00194DFF"/>
    <w:rsid w:val="00195E34"/>
    <w:rsid w:val="00196D4E"/>
    <w:rsid w:val="001975F6"/>
    <w:rsid w:val="001A25E9"/>
    <w:rsid w:val="001A2DCD"/>
    <w:rsid w:val="001A3893"/>
    <w:rsid w:val="001A390C"/>
    <w:rsid w:val="001A4817"/>
    <w:rsid w:val="001A58AB"/>
    <w:rsid w:val="001A6801"/>
    <w:rsid w:val="001A6AB7"/>
    <w:rsid w:val="001A725D"/>
    <w:rsid w:val="001A784D"/>
    <w:rsid w:val="001A7A66"/>
    <w:rsid w:val="001B01FE"/>
    <w:rsid w:val="001B0DDD"/>
    <w:rsid w:val="001B2446"/>
    <w:rsid w:val="001B2E40"/>
    <w:rsid w:val="001B301D"/>
    <w:rsid w:val="001B3125"/>
    <w:rsid w:val="001B54EC"/>
    <w:rsid w:val="001B5A90"/>
    <w:rsid w:val="001B6038"/>
    <w:rsid w:val="001B73B0"/>
    <w:rsid w:val="001B75F2"/>
    <w:rsid w:val="001B7834"/>
    <w:rsid w:val="001C1CA6"/>
    <w:rsid w:val="001C230C"/>
    <w:rsid w:val="001C2F98"/>
    <w:rsid w:val="001C3CEE"/>
    <w:rsid w:val="001C513C"/>
    <w:rsid w:val="001C5143"/>
    <w:rsid w:val="001C5397"/>
    <w:rsid w:val="001C5699"/>
    <w:rsid w:val="001C572A"/>
    <w:rsid w:val="001C5B75"/>
    <w:rsid w:val="001C5BCD"/>
    <w:rsid w:val="001C6B96"/>
    <w:rsid w:val="001C6FC9"/>
    <w:rsid w:val="001C7839"/>
    <w:rsid w:val="001D0319"/>
    <w:rsid w:val="001D32BD"/>
    <w:rsid w:val="001D4680"/>
    <w:rsid w:val="001D574E"/>
    <w:rsid w:val="001D588F"/>
    <w:rsid w:val="001D6117"/>
    <w:rsid w:val="001D6189"/>
    <w:rsid w:val="001D6B63"/>
    <w:rsid w:val="001D7522"/>
    <w:rsid w:val="001D7582"/>
    <w:rsid w:val="001E1980"/>
    <w:rsid w:val="001E308B"/>
    <w:rsid w:val="001E37CC"/>
    <w:rsid w:val="001E4988"/>
    <w:rsid w:val="001E4D61"/>
    <w:rsid w:val="001E5C92"/>
    <w:rsid w:val="001E61E3"/>
    <w:rsid w:val="001E6DCE"/>
    <w:rsid w:val="001E770D"/>
    <w:rsid w:val="001E7D98"/>
    <w:rsid w:val="001F0943"/>
    <w:rsid w:val="001F0A7B"/>
    <w:rsid w:val="001F0F41"/>
    <w:rsid w:val="001F171B"/>
    <w:rsid w:val="001F23ED"/>
    <w:rsid w:val="001F321A"/>
    <w:rsid w:val="001F46D8"/>
    <w:rsid w:val="001F4E03"/>
    <w:rsid w:val="001F4F0B"/>
    <w:rsid w:val="001F6303"/>
    <w:rsid w:val="001F7115"/>
    <w:rsid w:val="001F76E4"/>
    <w:rsid w:val="001F77DE"/>
    <w:rsid w:val="00200291"/>
    <w:rsid w:val="002009EF"/>
    <w:rsid w:val="0020142C"/>
    <w:rsid w:val="00202D11"/>
    <w:rsid w:val="00203F5D"/>
    <w:rsid w:val="0020484C"/>
    <w:rsid w:val="002057CF"/>
    <w:rsid w:val="00205AC6"/>
    <w:rsid w:val="00205F30"/>
    <w:rsid w:val="002063E7"/>
    <w:rsid w:val="00207124"/>
    <w:rsid w:val="00207450"/>
    <w:rsid w:val="00210792"/>
    <w:rsid w:val="00210FDE"/>
    <w:rsid w:val="0021153E"/>
    <w:rsid w:val="00211C39"/>
    <w:rsid w:val="00212359"/>
    <w:rsid w:val="00214D03"/>
    <w:rsid w:val="00215776"/>
    <w:rsid w:val="00216369"/>
    <w:rsid w:val="00217008"/>
    <w:rsid w:val="00217CC9"/>
    <w:rsid w:val="00217E88"/>
    <w:rsid w:val="00221DCA"/>
    <w:rsid w:val="00222082"/>
    <w:rsid w:val="0022272E"/>
    <w:rsid w:val="00222A96"/>
    <w:rsid w:val="00224FEC"/>
    <w:rsid w:val="002253E0"/>
    <w:rsid w:val="002270DC"/>
    <w:rsid w:val="0022763F"/>
    <w:rsid w:val="00230201"/>
    <w:rsid w:val="00230D70"/>
    <w:rsid w:val="0023209D"/>
    <w:rsid w:val="00233538"/>
    <w:rsid w:val="00233D8E"/>
    <w:rsid w:val="00234E10"/>
    <w:rsid w:val="00235015"/>
    <w:rsid w:val="0023688B"/>
    <w:rsid w:val="00236D10"/>
    <w:rsid w:val="00240753"/>
    <w:rsid w:val="00242A48"/>
    <w:rsid w:val="002430FA"/>
    <w:rsid w:val="0024438E"/>
    <w:rsid w:val="002443D2"/>
    <w:rsid w:val="0024485B"/>
    <w:rsid w:val="002451F0"/>
    <w:rsid w:val="00245625"/>
    <w:rsid w:val="00246716"/>
    <w:rsid w:val="00247861"/>
    <w:rsid w:val="00247CFF"/>
    <w:rsid w:val="00250418"/>
    <w:rsid w:val="00250565"/>
    <w:rsid w:val="00251095"/>
    <w:rsid w:val="0025159E"/>
    <w:rsid w:val="00251E1D"/>
    <w:rsid w:val="00252B06"/>
    <w:rsid w:val="00252F05"/>
    <w:rsid w:val="0025332A"/>
    <w:rsid w:val="00253AD4"/>
    <w:rsid w:val="00253EBB"/>
    <w:rsid w:val="00253EED"/>
    <w:rsid w:val="002543A1"/>
    <w:rsid w:val="002569B4"/>
    <w:rsid w:val="002569DB"/>
    <w:rsid w:val="00256DDA"/>
    <w:rsid w:val="00257163"/>
    <w:rsid w:val="002579B9"/>
    <w:rsid w:val="00257AFE"/>
    <w:rsid w:val="00257EA2"/>
    <w:rsid w:val="00260239"/>
    <w:rsid w:val="0026041B"/>
    <w:rsid w:val="00260937"/>
    <w:rsid w:val="00261DF0"/>
    <w:rsid w:val="0026229C"/>
    <w:rsid w:val="0026372C"/>
    <w:rsid w:val="002639F8"/>
    <w:rsid w:val="00264F2C"/>
    <w:rsid w:val="00265509"/>
    <w:rsid w:val="00265711"/>
    <w:rsid w:val="00266BE6"/>
    <w:rsid w:val="00267023"/>
    <w:rsid w:val="00267946"/>
    <w:rsid w:val="00267A0E"/>
    <w:rsid w:val="00270EF7"/>
    <w:rsid w:val="00271312"/>
    <w:rsid w:val="002726C9"/>
    <w:rsid w:val="00272898"/>
    <w:rsid w:val="0027369A"/>
    <w:rsid w:val="0027387E"/>
    <w:rsid w:val="00273AF5"/>
    <w:rsid w:val="00273C81"/>
    <w:rsid w:val="002740FA"/>
    <w:rsid w:val="00274123"/>
    <w:rsid w:val="002748E7"/>
    <w:rsid w:val="002749A7"/>
    <w:rsid w:val="00274ADB"/>
    <w:rsid w:val="00274B94"/>
    <w:rsid w:val="002751F3"/>
    <w:rsid w:val="00275FA9"/>
    <w:rsid w:val="0028193B"/>
    <w:rsid w:val="00282630"/>
    <w:rsid w:val="002831A4"/>
    <w:rsid w:val="0028378F"/>
    <w:rsid w:val="00283AAD"/>
    <w:rsid w:val="002854B8"/>
    <w:rsid w:val="00285DF7"/>
    <w:rsid w:val="00286330"/>
    <w:rsid w:val="00286994"/>
    <w:rsid w:val="00286FA5"/>
    <w:rsid w:val="00287329"/>
    <w:rsid w:val="00287607"/>
    <w:rsid w:val="00287CEC"/>
    <w:rsid w:val="002909F7"/>
    <w:rsid w:val="0029101E"/>
    <w:rsid w:val="002924F6"/>
    <w:rsid w:val="0029291D"/>
    <w:rsid w:val="00293D2A"/>
    <w:rsid w:val="00294569"/>
    <w:rsid w:val="002947ED"/>
    <w:rsid w:val="00295542"/>
    <w:rsid w:val="002A0663"/>
    <w:rsid w:val="002A09D4"/>
    <w:rsid w:val="002A09E3"/>
    <w:rsid w:val="002A1747"/>
    <w:rsid w:val="002A1FA9"/>
    <w:rsid w:val="002A22AE"/>
    <w:rsid w:val="002A2D5C"/>
    <w:rsid w:val="002A3EB7"/>
    <w:rsid w:val="002A5378"/>
    <w:rsid w:val="002A68C1"/>
    <w:rsid w:val="002A7281"/>
    <w:rsid w:val="002A7596"/>
    <w:rsid w:val="002B0AD6"/>
    <w:rsid w:val="002B0E74"/>
    <w:rsid w:val="002B1409"/>
    <w:rsid w:val="002B17D7"/>
    <w:rsid w:val="002B1DBE"/>
    <w:rsid w:val="002B3018"/>
    <w:rsid w:val="002B387C"/>
    <w:rsid w:val="002B3BF8"/>
    <w:rsid w:val="002B47A7"/>
    <w:rsid w:val="002B5268"/>
    <w:rsid w:val="002B584F"/>
    <w:rsid w:val="002B6351"/>
    <w:rsid w:val="002B6512"/>
    <w:rsid w:val="002B6EC6"/>
    <w:rsid w:val="002C0362"/>
    <w:rsid w:val="002C1BC5"/>
    <w:rsid w:val="002C1BD2"/>
    <w:rsid w:val="002C2FCA"/>
    <w:rsid w:val="002C3CF0"/>
    <w:rsid w:val="002C3F5D"/>
    <w:rsid w:val="002C489D"/>
    <w:rsid w:val="002C4D6B"/>
    <w:rsid w:val="002C5888"/>
    <w:rsid w:val="002C5C04"/>
    <w:rsid w:val="002C693D"/>
    <w:rsid w:val="002C6F4B"/>
    <w:rsid w:val="002D1890"/>
    <w:rsid w:val="002D1C0C"/>
    <w:rsid w:val="002D22F2"/>
    <w:rsid w:val="002D2408"/>
    <w:rsid w:val="002D2DA6"/>
    <w:rsid w:val="002D2DAE"/>
    <w:rsid w:val="002D306C"/>
    <w:rsid w:val="002D363A"/>
    <w:rsid w:val="002D3C9B"/>
    <w:rsid w:val="002D3CA0"/>
    <w:rsid w:val="002D4FCB"/>
    <w:rsid w:val="002D549E"/>
    <w:rsid w:val="002D6327"/>
    <w:rsid w:val="002D6483"/>
    <w:rsid w:val="002D67DD"/>
    <w:rsid w:val="002E0033"/>
    <w:rsid w:val="002E0897"/>
    <w:rsid w:val="002E1C27"/>
    <w:rsid w:val="002E2432"/>
    <w:rsid w:val="002E32C9"/>
    <w:rsid w:val="002E32E8"/>
    <w:rsid w:val="002F0230"/>
    <w:rsid w:val="002F0B53"/>
    <w:rsid w:val="002F13B0"/>
    <w:rsid w:val="002F33BC"/>
    <w:rsid w:val="002F359C"/>
    <w:rsid w:val="002F37FB"/>
    <w:rsid w:val="002F3B6B"/>
    <w:rsid w:val="002F4092"/>
    <w:rsid w:val="002F59BC"/>
    <w:rsid w:val="002F5DCE"/>
    <w:rsid w:val="002F5FEA"/>
    <w:rsid w:val="002F762B"/>
    <w:rsid w:val="003006F4"/>
    <w:rsid w:val="00304565"/>
    <w:rsid w:val="003049D2"/>
    <w:rsid w:val="003051F9"/>
    <w:rsid w:val="0030614F"/>
    <w:rsid w:val="00306710"/>
    <w:rsid w:val="00306CE8"/>
    <w:rsid w:val="00307C45"/>
    <w:rsid w:val="00307E2D"/>
    <w:rsid w:val="003103CD"/>
    <w:rsid w:val="0031081A"/>
    <w:rsid w:val="003111C7"/>
    <w:rsid w:val="0031189B"/>
    <w:rsid w:val="0031201D"/>
    <w:rsid w:val="00312CAA"/>
    <w:rsid w:val="00312CC1"/>
    <w:rsid w:val="00313BF7"/>
    <w:rsid w:val="0031408D"/>
    <w:rsid w:val="00314295"/>
    <w:rsid w:val="00314718"/>
    <w:rsid w:val="00314CC0"/>
    <w:rsid w:val="003152A8"/>
    <w:rsid w:val="003157FE"/>
    <w:rsid w:val="00316080"/>
    <w:rsid w:val="00316876"/>
    <w:rsid w:val="00317D5C"/>
    <w:rsid w:val="00321170"/>
    <w:rsid w:val="003212F4"/>
    <w:rsid w:val="00321F09"/>
    <w:rsid w:val="003223AC"/>
    <w:rsid w:val="00322B2B"/>
    <w:rsid w:val="00322BF3"/>
    <w:rsid w:val="0032327F"/>
    <w:rsid w:val="00323D4A"/>
    <w:rsid w:val="0032480C"/>
    <w:rsid w:val="00325CFA"/>
    <w:rsid w:val="0032617F"/>
    <w:rsid w:val="0033006D"/>
    <w:rsid w:val="0033075B"/>
    <w:rsid w:val="00330834"/>
    <w:rsid w:val="00330C19"/>
    <w:rsid w:val="00330C90"/>
    <w:rsid w:val="00330D25"/>
    <w:rsid w:val="00331102"/>
    <w:rsid w:val="003316B3"/>
    <w:rsid w:val="00331852"/>
    <w:rsid w:val="00331FE0"/>
    <w:rsid w:val="00332162"/>
    <w:rsid w:val="00332EDB"/>
    <w:rsid w:val="00332EF1"/>
    <w:rsid w:val="003333DD"/>
    <w:rsid w:val="0033373C"/>
    <w:rsid w:val="00333B16"/>
    <w:rsid w:val="00333D18"/>
    <w:rsid w:val="00334C8D"/>
    <w:rsid w:val="00335AE6"/>
    <w:rsid w:val="00336D90"/>
    <w:rsid w:val="003373AE"/>
    <w:rsid w:val="00340E92"/>
    <w:rsid w:val="00341B5D"/>
    <w:rsid w:val="00342099"/>
    <w:rsid w:val="00344380"/>
    <w:rsid w:val="00345234"/>
    <w:rsid w:val="00346990"/>
    <w:rsid w:val="00346ED5"/>
    <w:rsid w:val="00350A1F"/>
    <w:rsid w:val="00350AF4"/>
    <w:rsid w:val="00350E2C"/>
    <w:rsid w:val="00354D3B"/>
    <w:rsid w:val="00355D86"/>
    <w:rsid w:val="003564B3"/>
    <w:rsid w:val="00356C46"/>
    <w:rsid w:val="00356E27"/>
    <w:rsid w:val="00356E33"/>
    <w:rsid w:val="003573DA"/>
    <w:rsid w:val="003578C1"/>
    <w:rsid w:val="00360C28"/>
    <w:rsid w:val="003610D0"/>
    <w:rsid w:val="003615A2"/>
    <w:rsid w:val="00361DC6"/>
    <w:rsid w:val="00362B7B"/>
    <w:rsid w:val="00362D5F"/>
    <w:rsid w:val="00363823"/>
    <w:rsid w:val="003640D8"/>
    <w:rsid w:val="003641DF"/>
    <w:rsid w:val="00365C96"/>
    <w:rsid w:val="00366B8F"/>
    <w:rsid w:val="00370BB2"/>
    <w:rsid w:val="00371F82"/>
    <w:rsid w:val="00372F89"/>
    <w:rsid w:val="00374203"/>
    <w:rsid w:val="00374FA0"/>
    <w:rsid w:val="00375759"/>
    <w:rsid w:val="003761B4"/>
    <w:rsid w:val="0037752F"/>
    <w:rsid w:val="00381AAF"/>
    <w:rsid w:val="00381F05"/>
    <w:rsid w:val="00382173"/>
    <w:rsid w:val="00382903"/>
    <w:rsid w:val="003830DC"/>
    <w:rsid w:val="00383CB9"/>
    <w:rsid w:val="00385483"/>
    <w:rsid w:val="00385A5D"/>
    <w:rsid w:val="003871DE"/>
    <w:rsid w:val="00387A51"/>
    <w:rsid w:val="00390374"/>
    <w:rsid w:val="00391BA7"/>
    <w:rsid w:val="00391E82"/>
    <w:rsid w:val="00393189"/>
    <w:rsid w:val="003937E6"/>
    <w:rsid w:val="00393A81"/>
    <w:rsid w:val="00393D55"/>
    <w:rsid w:val="003946B1"/>
    <w:rsid w:val="00394E75"/>
    <w:rsid w:val="003952A7"/>
    <w:rsid w:val="00395522"/>
    <w:rsid w:val="00395990"/>
    <w:rsid w:val="003969F2"/>
    <w:rsid w:val="0039756E"/>
    <w:rsid w:val="003A01CC"/>
    <w:rsid w:val="003A04B7"/>
    <w:rsid w:val="003A17C0"/>
    <w:rsid w:val="003A1C73"/>
    <w:rsid w:val="003A33A2"/>
    <w:rsid w:val="003A36C4"/>
    <w:rsid w:val="003A3D53"/>
    <w:rsid w:val="003A411E"/>
    <w:rsid w:val="003A45B9"/>
    <w:rsid w:val="003A582A"/>
    <w:rsid w:val="003A6214"/>
    <w:rsid w:val="003A6FE6"/>
    <w:rsid w:val="003A71AE"/>
    <w:rsid w:val="003A7238"/>
    <w:rsid w:val="003A7D41"/>
    <w:rsid w:val="003B090D"/>
    <w:rsid w:val="003B1B1B"/>
    <w:rsid w:val="003B21ED"/>
    <w:rsid w:val="003B2DCE"/>
    <w:rsid w:val="003B3D1B"/>
    <w:rsid w:val="003B45CF"/>
    <w:rsid w:val="003B6182"/>
    <w:rsid w:val="003B6BEE"/>
    <w:rsid w:val="003B6E51"/>
    <w:rsid w:val="003B77F6"/>
    <w:rsid w:val="003B7A5C"/>
    <w:rsid w:val="003C0183"/>
    <w:rsid w:val="003C0D55"/>
    <w:rsid w:val="003C1C41"/>
    <w:rsid w:val="003C241D"/>
    <w:rsid w:val="003C2B3D"/>
    <w:rsid w:val="003C2C4A"/>
    <w:rsid w:val="003C34B6"/>
    <w:rsid w:val="003C3D74"/>
    <w:rsid w:val="003C44BA"/>
    <w:rsid w:val="003C4AF0"/>
    <w:rsid w:val="003C5155"/>
    <w:rsid w:val="003C519A"/>
    <w:rsid w:val="003C5316"/>
    <w:rsid w:val="003C53A1"/>
    <w:rsid w:val="003C6AB9"/>
    <w:rsid w:val="003C6DFA"/>
    <w:rsid w:val="003D110A"/>
    <w:rsid w:val="003D25B6"/>
    <w:rsid w:val="003D2EA8"/>
    <w:rsid w:val="003D4E69"/>
    <w:rsid w:val="003D6498"/>
    <w:rsid w:val="003D6504"/>
    <w:rsid w:val="003D68E6"/>
    <w:rsid w:val="003D7373"/>
    <w:rsid w:val="003D741D"/>
    <w:rsid w:val="003D77C6"/>
    <w:rsid w:val="003D7CC4"/>
    <w:rsid w:val="003E0384"/>
    <w:rsid w:val="003E0DEE"/>
    <w:rsid w:val="003E17DA"/>
    <w:rsid w:val="003E1881"/>
    <w:rsid w:val="003E1A9D"/>
    <w:rsid w:val="003E2FC0"/>
    <w:rsid w:val="003E4029"/>
    <w:rsid w:val="003E5AC0"/>
    <w:rsid w:val="003E6F1A"/>
    <w:rsid w:val="003E6FF6"/>
    <w:rsid w:val="003F0A44"/>
    <w:rsid w:val="003F0CA4"/>
    <w:rsid w:val="003F32A7"/>
    <w:rsid w:val="003F351E"/>
    <w:rsid w:val="003F4226"/>
    <w:rsid w:val="003F48B8"/>
    <w:rsid w:val="003F4B39"/>
    <w:rsid w:val="003F6702"/>
    <w:rsid w:val="003F6D72"/>
    <w:rsid w:val="003F7CB9"/>
    <w:rsid w:val="003F7F65"/>
    <w:rsid w:val="00400118"/>
    <w:rsid w:val="004004BB"/>
    <w:rsid w:val="0040079D"/>
    <w:rsid w:val="0040196D"/>
    <w:rsid w:val="0040299A"/>
    <w:rsid w:val="00402B06"/>
    <w:rsid w:val="004044A1"/>
    <w:rsid w:val="00404A4C"/>
    <w:rsid w:val="004058E0"/>
    <w:rsid w:val="00407349"/>
    <w:rsid w:val="00407498"/>
    <w:rsid w:val="004079D2"/>
    <w:rsid w:val="004101DF"/>
    <w:rsid w:val="004110B6"/>
    <w:rsid w:val="004112E1"/>
    <w:rsid w:val="0041278A"/>
    <w:rsid w:val="00412E5D"/>
    <w:rsid w:val="00413D5C"/>
    <w:rsid w:val="004143CC"/>
    <w:rsid w:val="004144AD"/>
    <w:rsid w:val="00416045"/>
    <w:rsid w:val="00416321"/>
    <w:rsid w:val="0041635D"/>
    <w:rsid w:val="004166BF"/>
    <w:rsid w:val="004174E9"/>
    <w:rsid w:val="004200D0"/>
    <w:rsid w:val="00420E1D"/>
    <w:rsid w:val="004220CA"/>
    <w:rsid w:val="00422723"/>
    <w:rsid w:val="00422A12"/>
    <w:rsid w:val="00423024"/>
    <w:rsid w:val="0042304F"/>
    <w:rsid w:val="00423AB1"/>
    <w:rsid w:val="00424713"/>
    <w:rsid w:val="00424950"/>
    <w:rsid w:val="00424E59"/>
    <w:rsid w:val="00425E45"/>
    <w:rsid w:val="00426898"/>
    <w:rsid w:val="00426F01"/>
    <w:rsid w:val="004275C9"/>
    <w:rsid w:val="00427649"/>
    <w:rsid w:val="0043117D"/>
    <w:rsid w:val="0043190B"/>
    <w:rsid w:val="004323D8"/>
    <w:rsid w:val="00433CC9"/>
    <w:rsid w:val="00435A05"/>
    <w:rsid w:val="00436C70"/>
    <w:rsid w:val="00436E13"/>
    <w:rsid w:val="0043713C"/>
    <w:rsid w:val="0043740A"/>
    <w:rsid w:val="00437F20"/>
    <w:rsid w:val="00440619"/>
    <w:rsid w:val="004406B9"/>
    <w:rsid w:val="00440D10"/>
    <w:rsid w:val="00441606"/>
    <w:rsid w:val="00442916"/>
    <w:rsid w:val="00443CBE"/>
    <w:rsid w:val="0044408C"/>
    <w:rsid w:val="00445FD5"/>
    <w:rsid w:val="00446D2F"/>
    <w:rsid w:val="00447AAA"/>
    <w:rsid w:val="00447C2A"/>
    <w:rsid w:val="004505B9"/>
    <w:rsid w:val="00450E0B"/>
    <w:rsid w:val="0045228E"/>
    <w:rsid w:val="0045234C"/>
    <w:rsid w:val="00453CFE"/>
    <w:rsid w:val="004551A7"/>
    <w:rsid w:val="0045521B"/>
    <w:rsid w:val="0045526C"/>
    <w:rsid w:val="004554B7"/>
    <w:rsid w:val="00455592"/>
    <w:rsid w:val="00455726"/>
    <w:rsid w:val="004576BF"/>
    <w:rsid w:val="00457842"/>
    <w:rsid w:val="004620CA"/>
    <w:rsid w:val="004626C6"/>
    <w:rsid w:val="0046404B"/>
    <w:rsid w:val="0046466F"/>
    <w:rsid w:val="004654BD"/>
    <w:rsid w:val="00466238"/>
    <w:rsid w:val="00466A28"/>
    <w:rsid w:val="00466BC5"/>
    <w:rsid w:val="00466DBA"/>
    <w:rsid w:val="00467328"/>
    <w:rsid w:val="00467BA5"/>
    <w:rsid w:val="00470B3B"/>
    <w:rsid w:val="00470E69"/>
    <w:rsid w:val="0047338A"/>
    <w:rsid w:val="0047392A"/>
    <w:rsid w:val="00475BC1"/>
    <w:rsid w:val="00476826"/>
    <w:rsid w:val="00476947"/>
    <w:rsid w:val="00477B31"/>
    <w:rsid w:val="004809A4"/>
    <w:rsid w:val="00480A7B"/>
    <w:rsid w:val="00480AD1"/>
    <w:rsid w:val="00480FFE"/>
    <w:rsid w:val="00481FC7"/>
    <w:rsid w:val="004831FC"/>
    <w:rsid w:val="004837CC"/>
    <w:rsid w:val="004840AF"/>
    <w:rsid w:val="00484327"/>
    <w:rsid w:val="0048485E"/>
    <w:rsid w:val="00484D81"/>
    <w:rsid w:val="00485BE8"/>
    <w:rsid w:val="00486793"/>
    <w:rsid w:val="00487343"/>
    <w:rsid w:val="0048760A"/>
    <w:rsid w:val="004879D3"/>
    <w:rsid w:val="00491359"/>
    <w:rsid w:val="004913C1"/>
    <w:rsid w:val="004915F3"/>
    <w:rsid w:val="00491945"/>
    <w:rsid w:val="00491EC3"/>
    <w:rsid w:val="0049280A"/>
    <w:rsid w:val="0049397B"/>
    <w:rsid w:val="00493D08"/>
    <w:rsid w:val="004958FB"/>
    <w:rsid w:val="00496ED8"/>
    <w:rsid w:val="00497168"/>
    <w:rsid w:val="004976B7"/>
    <w:rsid w:val="00497769"/>
    <w:rsid w:val="00497F22"/>
    <w:rsid w:val="004A05D8"/>
    <w:rsid w:val="004A07B5"/>
    <w:rsid w:val="004A0BF3"/>
    <w:rsid w:val="004A1997"/>
    <w:rsid w:val="004A1B00"/>
    <w:rsid w:val="004A1DAB"/>
    <w:rsid w:val="004A2E97"/>
    <w:rsid w:val="004A38F9"/>
    <w:rsid w:val="004A4B14"/>
    <w:rsid w:val="004A5CE4"/>
    <w:rsid w:val="004B0F22"/>
    <w:rsid w:val="004B138C"/>
    <w:rsid w:val="004B19FF"/>
    <w:rsid w:val="004B2463"/>
    <w:rsid w:val="004B3363"/>
    <w:rsid w:val="004B3612"/>
    <w:rsid w:val="004B3848"/>
    <w:rsid w:val="004B4A31"/>
    <w:rsid w:val="004B53E3"/>
    <w:rsid w:val="004B75B1"/>
    <w:rsid w:val="004C027A"/>
    <w:rsid w:val="004C1D81"/>
    <w:rsid w:val="004C1F6E"/>
    <w:rsid w:val="004C5143"/>
    <w:rsid w:val="004C6565"/>
    <w:rsid w:val="004C7BE4"/>
    <w:rsid w:val="004D2A48"/>
    <w:rsid w:val="004D31EF"/>
    <w:rsid w:val="004D33EB"/>
    <w:rsid w:val="004D3BBB"/>
    <w:rsid w:val="004D5AE5"/>
    <w:rsid w:val="004D6AE2"/>
    <w:rsid w:val="004D7500"/>
    <w:rsid w:val="004D7F61"/>
    <w:rsid w:val="004E2C63"/>
    <w:rsid w:val="004E3D58"/>
    <w:rsid w:val="004E3DA9"/>
    <w:rsid w:val="004E4490"/>
    <w:rsid w:val="004E545B"/>
    <w:rsid w:val="004E5E55"/>
    <w:rsid w:val="004E6977"/>
    <w:rsid w:val="004E6F31"/>
    <w:rsid w:val="004E7B35"/>
    <w:rsid w:val="004F195D"/>
    <w:rsid w:val="004F21E6"/>
    <w:rsid w:val="004F24D3"/>
    <w:rsid w:val="004F303B"/>
    <w:rsid w:val="004F3AB0"/>
    <w:rsid w:val="004F419F"/>
    <w:rsid w:val="004F46CF"/>
    <w:rsid w:val="004F4869"/>
    <w:rsid w:val="004F501F"/>
    <w:rsid w:val="004F5517"/>
    <w:rsid w:val="004F5559"/>
    <w:rsid w:val="004F67B9"/>
    <w:rsid w:val="004F7D05"/>
    <w:rsid w:val="004F7E9F"/>
    <w:rsid w:val="0050043B"/>
    <w:rsid w:val="005007B3"/>
    <w:rsid w:val="00500B5D"/>
    <w:rsid w:val="00500BB9"/>
    <w:rsid w:val="00500DD8"/>
    <w:rsid w:val="00501635"/>
    <w:rsid w:val="00503094"/>
    <w:rsid w:val="00503433"/>
    <w:rsid w:val="00503837"/>
    <w:rsid w:val="00503F78"/>
    <w:rsid w:val="00503F95"/>
    <w:rsid w:val="00503FFA"/>
    <w:rsid w:val="005049EF"/>
    <w:rsid w:val="00505615"/>
    <w:rsid w:val="00506246"/>
    <w:rsid w:val="00507371"/>
    <w:rsid w:val="00507D10"/>
    <w:rsid w:val="00510BDE"/>
    <w:rsid w:val="00511C8D"/>
    <w:rsid w:val="005120B1"/>
    <w:rsid w:val="00512399"/>
    <w:rsid w:val="00512939"/>
    <w:rsid w:val="005138EB"/>
    <w:rsid w:val="00513B36"/>
    <w:rsid w:val="00513C4C"/>
    <w:rsid w:val="005148C8"/>
    <w:rsid w:val="005155DF"/>
    <w:rsid w:val="00516477"/>
    <w:rsid w:val="00516D46"/>
    <w:rsid w:val="00516E9B"/>
    <w:rsid w:val="00520395"/>
    <w:rsid w:val="005209A0"/>
    <w:rsid w:val="0052328D"/>
    <w:rsid w:val="00524F29"/>
    <w:rsid w:val="00525580"/>
    <w:rsid w:val="0052773D"/>
    <w:rsid w:val="00530241"/>
    <w:rsid w:val="0053085E"/>
    <w:rsid w:val="005309A1"/>
    <w:rsid w:val="005309FC"/>
    <w:rsid w:val="00531549"/>
    <w:rsid w:val="00533D3F"/>
    <w:rsid w:val="005342DB"/>
    <w:rsid w:val="005356BF"/>
    <w:rsid w:val="00535867"/>
    <w:rsid w:val="00536337"/>
    <w:rsid w:val="005367AC"/>
    <w:rsid w:val="00536EC8"/>
    <w:rsid w:val="00537560"/>
    <w:rsid w:val="00537D54"/>
    <w:rsid w:val="00541245"/>
    <w:rsid w:val="00542AD4"/>
    <w:rsid w:val="00542B7A"/>
    <w:rsid w:val="005436F3"/>
    <w:rsid w:val="00544195"/>
    <w:rsid w:val="005447A2"/>
    <w:rsid w:val="00544C76"/>
    <w:rsid w:val="00544C99"/>
    <w:rsid w:val="0054515E"/>
    <w:rsid w:val="00545EC4"/>
    <w:rsid w:val="00546991"/>
    <w:rsid w:val="00550207"/>
    <w:rsid w:val="00550ADC"/>
    <w:rsid w:val="00550AE8"/>
    <w:rsid w:val="00552F3F"/>
    <w:rsid w:val="0055392F"/>
    <w:rsid w:val="00553CF0"/>
    <w:rsid w:val="00553D06"/>
    <w:rsid w:val="00554F09"/>
    <w:rsid w:val="005559F4"/>
    <w:rsid w:val="005565CA"/>
    <w:rsid w:val="00557503"/>
    <w:rsid w:val="00557EA8"/>
    <w:rsid w:val="0056059B"/>
    <w:rsid w:val="005608A3"/>
    <w:rsid w:val="00560AD5"/>
    <w:rsid w:val="00562FA7"/>
    <w:rsid w:val="005631A1"/>
    <w:rsid w:val="00563FA7"/>
    <w:rsid w:val="005640D7"/>
    <w:rsid w:val="00564B84"/>
    <w:rsid w:val="00565FEB"/>
    <w:rsid w:val="0056653E"/>
    <w:rsid w:val="0056664B"/>
    <w:rsid w:val="0057007A"/>
    <w:rsid w:val="00570769"/>
    <w:rsid w:val="00570A9E"/>
    <w:rsid w:val="00570FE7"/>
    <w:rsid w:val="00571275"/>
    <w:rsid w:val="00572243"/>
    <w:rsid w:val="00572927"/>
    <w:rsid w:val="0057386F"/>
    <w:rsid w:val="00574727"/>
    <w:rsid w:val="00574DAA"/>
    <w:rsid w:val="00575179"/>
    <w:rsid w:val="00576095"/>
    <w:rsid w:val="00576597"/>
    <w:rsid w:val="005777D6"/>
    <w:rsid w:val="00577B2B"/>
    <w:rsid w:val="00577DF1"/>
    <w:rsid w:val="0058085C"/>
    <w:rsid w:val="005808F9"/>
    <w:rsid w:val="005843FC"/>
    <w:rsid w:val="005854FB"/>
    <w:rsid w:val="00586075"/>
    <w:rsid w:val="00586FD0"/>
    <w:rsid w:val="00590817"/>
    <w:rsid w:val="005914DB"/>
    <w:rsid w:val="00591F50"/>
    <w:rsid w:val="00592A14"/>
    <w:rsid w:val="005947F1"/>
    <w:rsid w:val="00594ACB"/>
    <w:rsid w:val="00595AC5"/>
    <w:rsid w:val="00596C25"/>
    <w:rsid w:val="005976BD"/>
    <w:rsid w:val="00597AAD"/>
    <w:rsid w:val="00597E36"/>
    <w:rsid w:val="005A0A5C"/>
    <w:rsid w:val="005A0F5C"/>
    <w:rsid w:val="005A18EC"/>
    <w:rsid w:val="005A2A30"/>
    <w:rsid w:val="005A37AA"/>
    <w:rsid w:val="005A3D19"/>
    <w:rsid w:val="005A4107"/>
    <w:rsid w:val="005A4752"/>
    <w:rsid w:val="005A4C88"/>
    <w:rsid w:val="005A595B"/>
    <w:rsid w:val="005A6BC6"/>
    <w:rsid w:val="005A6E6F"/>
    <w:rsid w:val="005A72B8"/>
    <w:rsid w:val="005A746B"/>
    <w:rsid w:val="005A75F3"/>
    <w:rsid w:val="005A7895"/>
    <w:rsid w:val="005B008A"/>
    <w:rsid w:val="005B1A57"/>
    <w:rsid w:val="005B23FC"/>
    <w:rsid w:val="005B41FA"/>
    <w:rsid w:val="005B47EC"/>
    <w:rsid w:val="005B4D8F"/>
    <w:rsid w:val="005C2C4E"/>
    <w:rsid w:val="005C2EDB"/>
    <w:rsid w:val="005C48F0"/>
    <w:rsid w:val="005C6A95"/>
    <w:rsid w:val="005D0E46"/>
    <w:rsid w:val="005D0E5B"/>
    <w:rsid w:val="005D1C3F"/>
    <w:rsid w:val="005D1D0F"/>
    <w:rsid w:val="005D2342"/>
    <w:rsid w:val="005D23FC"/>
    <w:rsid w:val="005D26E7"/>
    <w:rsid w:val="005D36D1"/>
    <w:rsid w:val="005D4434"/>
    <w:rsid w:val="005D45CE"/>
    <w:rsid w:val="005D502F"/>
    <w:rsid w:val="005D52CC"/>
    <w:rsid w:val="005D5534"/>
    <w:rsid w:val="005D6DDC"/>
    <w:rsid w:val="005E052D"/>
    <w:rsid w:val="005E05A2"/>
    <w:rsid w:val="005E0B97"/>
    <w:rsid w:val="005E1142"/>
    <w:rsid w:val="005E1259"/>
    <w:rsid w:val="005E18DB"/>
    <w:rsid w:val="005E2509"/>
    <w:rsid w:val="005E2540"/>
    <w:rsid w:val="005E2B30"/>
    <w:rsid w:val="005E2F7C"/>
    <w:rsid w:val="005E50EE"/>
    <w:rsid w:val="005E5487"/>
    <w:rsid w:val="005E56AC"/>
    <w:rsid w:val="005E5865"/>
    <w:rsid w:val="005E5B22"/>
    <w:rsid w:val="005E64DE"/>
    <w:rsid w:val="005F204C"/>
    <w:rsid w:val="005F269D"/>
    <w:rsid w:val="005F3087"/>
    <w:rsid w:val="005F4CA5"/>
    <w:rsid w:val="005F4EA0"/>
    <w:rsid w:val="005F63AC"/>
    <w:rsid w:val="005F747F"/>
    <w:rsid w:val="005F7E6A"/>
    <w:rsid w:val="00600086"/>
    <w:rsid w:val="006019D5"/>
    <w:rsid w:val="00604BE9"/>
    <w:rsid w:val="00604F49"/>
    <w:rsid w:val="006053BD"/>
    <w:rsid w:val="00605BD8"/>
    <w:rsid w:val="00607446"/>
    <w:rsid w:val="006075ED"/>
    <w:rsid w:val="00607743"/>
    <w:rsid w:val="0061063E"/>
    <w:rsid w:val="006116C0"/>
    <w:rsid w:val="006130A2"/>
    <w:rsid w:val="006133F4"/>
    <w:rsid w:val="0061368A"/>
    <w:rsid w:val="006142D7"/>
    <w:rsid w:val="00615B88"/>
    <w:rsid w:val="00617AE4"/>
    <w:rsid w:val="00621202"/>
    <w:rsid w:val="00621336"/>
    <w:rsid w:val="00621B88"/>
    <w:rsid w:val="0062298A"/>
    <w:rsid w:val="00623608"/>
    <w:rsid w:val="00624500"/>
    <w:rsid w:val="006247B0"/>
    <w:rsid w:val="006247DD"/>
    <w:rsid w:val="00624E89"/>
    <w:rsid w:val="00625076"/>
    <w:rsid w:val="00625F1A"/>
    <w:rsid w:val="00625FED"/>
    <w:rsid w:val="00626CCB"/>
    <w:rsid w:val="00627D34"/>
    <w:rsid w:val="006302BC"/>
    <w:rsid w:val="006308CE"/>
    <w:rsid w:val="00630997"/>
    <w:rsid w:val="00631599"/>
    <w:rsid w:val="00631836"/>
    <w:rsid w:val="00631B57"/>
    <w:rsid w:val="00631FC2"/>
    <w:rsid w:val="00632235"/>
    <w:rsid w:val="00632373"/>
    <w:rsid w:val="00632B00"/>
    <w:rsid w:val="00633AF2"/>
    <w:rsid w:val="00634619"/>
    <w:rsid w:val="006355E8"/>
    <w:rsid w:val="00635B53"/>
    <w:rsid w:val="00637096"/>
    <w:rsid w:val="006370B8"/>
    <w:rsid w:val="00637DD4"/>
    <w:rsid w:val="00640D16"/>
    <w:rsid w:val="00642A6C"/>
    <w:rsid w:val="0064498C"/>
    <w:rsid w:val="006449B1"/>
    <w:rsid w:val="006452F5"/>
    <w:rsid w:val="006473CC"/>
    <w:rsid w:val="006477CB"/>
    <w:rsid w:val="00647FEB"/>
    <w:rsid w:val="00651110"/>
    <w:rsid w:val="00651A17"/>
    <w:rsid w:val="0065304A"/>
    <w:rsid w:val="00653FA5"/>
    <w:rsid w:val="00654B5B"/>
    <w:rsid w:val="006552DF"/>
    <w:rsid w:val="00655D27"/>
    <w:rsid w:val="00657EA2"/>
    <w:rsid w:val="006602C4"/>
    <w:rsid w:val="006610F3"/>
    <w:rsid w:val="0066112B"/>
    <w:rsid w:val="0066157B"/>
    <w:rsid w:val="0066352C"/>
    <w:rsid w:val="006644FA"/>
    <w:rsid w:val="00664FBF"/>
    <w:rsid w:val="0066531F"/>
    <w:rsid w:val="00666078"/>
    <w:rsid w:val="00666A1D"/>
    <w:rsid w:val="006677A6"/>
    <w:rsid w:val="00667F4E"/>
    <w:rsid w:val="006701CA"/>
    <w:rsid w:val="0067185B"/>
    <w:rsid w:val="00672EC4"/>
    <w:rsid w:val="006737FC"/>
    <w:rsid w:val="006738D3"/>
    <w:rsid w:val="0067513A"/>
    <w:rsid w:val="006752CD"/>
    <w:rsid w:val="006752EE"/>
    <w:rsid w:val="00675B5F"/>
    <w:rsid w:val="00676388"/>
    <w:rsid w:val="0067639A"/>
    <w:rsid w:val="00676B95"/>
    <w:rsid w:val="00676C5C"/>
    <w:rsid w:val="00677E1F"/>
    <w:rsid w:val="00680057"/>
    <w:rsid w:val="00680AF4"/>
    <w:rsid w:val="00680BF0"/>
    <w:rsid w:val="00680CB5"/>
    <w:rsid w:val="006832F6"/>
    <w:rsid w:val="006834BE"/>
    <w:rsid w:val="00683AAB"/>
    <w:rsid w:val="00683DC5"/>
    <w:rsid w:val="00684DCF"/>
    <w:rsid w:val="00686442"/>
    <w:rsid w:val="00686510"/>
    <w:rsid w:val="006869D0"/>
    <w:rsid w:val="0068747A"/>
    <w:rsid w:val="006875A8"/>
    <w:rsid w:val="0069069E"/>
    <w:rsid w:val="0069101F"/>
    <w:rsid w:val="0069110F"/>
    <w:rsid w:val="006911C0"/>
    <w:rsid w:val="00692762"/>
    <w:rsid w:val="006930B0"/>
    <w:rsid w:val="006947EC"/>
    <w:rsid w:val="00694B9A"/>
    <w:rsid w:val="00695793"/>
    <w:rsid w:val="00696601"/>
    <w:rsid w:val="00697144"/>
    <w:rsid w:val="006A0323"/>
    <w:rsid w:val="006A06AA"/>
    <w:rsid w:val="006A0996"/>
    <w:rsid w:val="006A0EF2"/>
    <w:rsid w:val="006A0FA5"/>
    <w:rsid w:val="006A1495"/>
    <w:rsid w:val="006A21C8"/>
    <w:rsid w:val="006A4782"/>
    <w:rsid w:val="006A49F2"/>
    <w:rsid w:val="006A5C2F"/>
    <w:rsid w:val="006A75A0"/>
    <w:rsid w:val="006B120F"/>
    <w:rsid w:val="006B128B"/>
    <w:rsid w:val="006B21AD"/>
    <w:rsid w:val="006B4E46"/>
    <w:rsid w:val="006B5803"/>
    <w:rsid w:val="006B7105"/>
    <w:rsid w:val="006C05C3"/>
    <w:rsid w:val="006C09B6"/>
    <w:rsid w:val="006C187D"/>
    <w:rsid w:val="006C1ECD"/>
    <w:rsid w:val="006C2110"/>
    <w:rsid w:val="006C2854"/>
    <w:rsid w:val="006C2EDD"/>
    <w:rsid w:val="006C3568"/>
    <w:rsid w:val="006C3A64"/>
    <w:rsid w:val="006C57AF"/>
    <w:rsid w:val="006C58FA"/>
    <w:rsid w:val="006C5DE8"/>
    <w:rsid w:val="006C63FE"/>
    <w:rsid w:val="006C67A4"/>
    <w:rsid w:val="006C7E74"/>
    <w:rsid w:val="006D07C5"/>
    <w:rsid w:val="006D0EAA"/>
    <w:rsid w:val="006D14F2"/>
    <w:rsid w:val="006D1A36"/>
    <w:rsid w:val="006D1DA1"/>
    <w:rsid w:val="006D1F80"/>
    <w:rsid w:val="006D20A9"/>
    <w:rsid w:val="006D2D1C"/>
    <w:rsid w:val="006D2F43"/>
    <w:rsid w:val="006D304C"/>
    <w:rsid w:val="006D415F"/>
    <w:rsid w:val="006D4D79"/>
    <w:rsid w:val="006E0189"/>
    <w:rsid w:val="006E080A"/>
    <w:rsid w:val="006E090F"/>
    <w:rsid w:val="006E1F48"/>
    <w:rsid w:val="006E296A"/>
    <w:rsid w:val="006E2B38"/>
    <w:rsid w:val="006E2EA0"/>
    <w:rsid w:val="006E34F5"/>
    <w:rsid w:val="006E4411"/>
    <w:rsid w:val="006E4D6A"/>
    <w:rsid w:val="006E61B2"/>
    <w:rsid w:val="006E61CC"/>
    <w:rsid w:val="006E61D1"/>
    <w:rsid w:val="006E7282"/>
    <w:rsid w:val="006F1332"/>
    <w:rsid w:val="006F14EC"/>
    <w:rsid w:val="006F4C95"/>
    <w:rsid w:val="006F6D03"/>
    <w:rsid w:val="006F6EBB"/>
    <w:rsid w:val="006F7501"/>
    <w:rsid w:val="006F756C"/>
    <w:rsid w:val="00700DE7"/>
    <w:rsid w:val="0070180F"/>
    <w:rsid w:val="00702160"/>
    <w:rsid w:val="00702867"/>
    <w:rsid w:val="00705E1C"/>
    <w:rsid w:val="00705E33"/>
    <w:rsid w:val="007113D1"/>
    <w:rsid w:val="00712602"/>
    <w:rsid w:val="00714A28"/>
    <w:rsid w:val="0071736B"/>
    <w:rsid w:val="00717D6B"/>
    <w:rsid w:val="00717F12"/>
    <w:rsid w:val="0072029C"/>
    <w:rsid w:val="007211F1"/>
    <w:rsid w:val="00722755"/>
    <w:rsid w:val="00723CB1"/>
    <w:rsid w:val="00724F1A"/>
    <w:rsid w:val="00725611"/>
    <w:rsid w:val="00725AC5"/>
    <w:rsid w:val="007269F0"/>
    <w:rsid w:val="0073192D"/>
    <w:rsid w:val="00731A6C"/>
    <w:rsid w:val="00737204"/>
    <w:rsid w:val="0074002C"/>
    <w:rsid w:val="007411F7"/>
    <w:rsid w:val="0074133D"/>
    <w:rsid w:val="00741A27"/>
    <w:rsid w:val="007433CE"/>
    <w:rsid w:val="00744A4C"/>
    <w:rsid w:val="00746543"/>
    <w:rsid w:val="0074675F"/>
    <w:rsid w:val="00746834"/>
    <w:rsid w:val="00746A21"/>
    <w:rsid w:val="00747DF7"/>
    <w:rsid w:val="00747FDD"/>
    <w:rsid w:val="007513F3"/>
    <w:rsid w:val="0075362D"/>
    <w:rsid w:val="00755B1E"/>
    <w:rsid w:val="00755DE8"/>
    <w:rsid w:val="00756779"/>
    <w:rsid w:val="00757493"/>
    <w:rsid w:val="007576C1"/>
    <w:rsid w:val="0076026A"/>
    <w:rsid w:val="00760D60"/>
    <w:rsid w:val="00761E2B"/>
    <w:rsid w:val="00762B51"/>
    <w:rsid w:val="007632D0"/>
    <w:rsid w:val="00765F88"/>
    <w:rsid w:val="00767592"/>
    <w:rsid w:val="007704C1"/>
    <w:rsid w:val="0077095C"/>
    <w:rsid w:val="007709C7"/>
    <w:rsid w:val="00771856"/>
    <w:rsid w:val="00771D2D"/>
    <w:rsid w:val="00771DB2"/>
    <w:rsid w:val="007722C7"/>
    <w:rsid w:val="00772F45"/>
    <w:rsid w:val="00773E06"/>
    <w:rsid w:val="00773E7A"/>
    <w:rsid w:val="007837B1"/>
    <w:rsid w:val="00783C4F"/>
    <w:rsid w:val="00783CD7"/>
    <w:rsid w:val="00784635"/>
    <w:rsid w:val="00785E16"/>
    <w:rsid w:val="00786437"/>
    <w:rsid w:val="0078790A"/>
    <w:rsid w:val="00787DB9"/>
    <w:rsid w:val="007911CC"/>
    <w:rsid w:val="00792363"/>
    <w:rsid w:val="00792598"/>
    <w:rsid w:val="00793319"/>
    <w:rsid w:val="0079389E"/>
    <w:rsid w:val="00793D86"/>
    <w:rsid w:val="00794975"/>
    <w:rsid w:val="00794F05"/>
    <w:rsid w:val="00794FB5"/>
    <w:rsid w:val="007955A9"/>
    <w:rsid w:val="00795F44"/>
    <w:rsid w:val="007A0479"/>
    <w:rsid w:val="007A047E"/>
    <w:rsid w:val="007A12B4"/>
    <w:rsid w:val="007A1399"/>
    <w:rsid w:val="007A279B"/>
    <w:rsid w:val="007A3997"/>
    <w:rsid w:val="007A4099"/>
    <w:rsid w:val="007A44D3"/>
    <w:rsid w:val="007A4845"/>
    <w:rsid w:val="007A4E35"/>
    <w:rsid w:val="007A57A0"/>
    <w:rsid w:val="007A617A"/>
    <w:rsid w:val="007A635B"/>
    <w:rsid w:val="007A6E37"/>
    <w:rsid w:val="007B1BDF"/>
    <w:rsid w:val="007B1F4D"/>
    <w:rsid w:val="007B31EC"/>
    <w:rsid w:val="007B3286"/>
    <w:rsid w:val="007B57A6"/>
    <w:rsid w:val="007B5D79"/>
    <w:rsid w:val="007B5E89"/>
    <w:rsid w:val="007B5FC2"/>
    <w:rsid w:val="007B6097"/>
    <w:rsid w:val="007B6BC7"/>
    <w:rsid w:val="007B6EAC"/>
    <w:rsid w:val="007C0E79"/>
    <w:rsid w:val="007C1008"/>
    <w:rsid w:val="007C2325"/>
    <w:rsid w:val="007C2F20"/>
    <w:rsid w:val="007C38A7"/>
    <w:rsid w:val="007C546F"/>
    <w:rsid w:val="007C5F7A"/>
    <w:rsid w:val="007C6151"/>
    <w:rsid w:val="007C674C"/>
    <w:rsid w:val="007C6771"/>
    <w:rsid w:val="007C770A"/>
    <w:rsid w:val="007C78AA"/>
    <w:rsid w:val="007D056F"/>
    <w:rsid w:val="007D0BE5"/>
    <w:rsid w:val="007D0F80"/>
    <w:rsid w:val="007D209F"/>
    <w:rsid w:val="007D241F"/>
    <w:rsid w:val="007D286F"/>
    <w:rsid w:val="007D2D0A"/>
    <w:rsid w:val="007D3AF4"/>
    <w:rsid w:val="007D4465"/>
    <w:rsid w:val="007D6539"/>
    <w:rsid w:val="007D78A8"/>
    <w:rsid w:val="007E072A"/>
    <w:rsid w:val="007E09BA"/>
    <w:rsid w:val="007E0D6C"/>
    <w:rsid w:val="007E10A5"/>
    <w:rsid w:val="007E1296"/>
    <w:rsid w:val="007E1A0A"/>
    <w:rsid w:val="007E26A0"/>
    <w:rsid w:val="007E3722"/>
    <w:rsid w:val="007E42BF"/>
    <w:rsid w:val="007E47A4"/>
    <w:rsid w:val="007E54FD"/>
    <w:rsid w:val="007E5C61"/>
    <w:rsid w:val="007E622A"/>
    <w:rsid w:val="007E69F9"/>
    <w:rsid w:val="007E6F4B"/>
    <w:rsid w:val="007E7EDC"/>
    <w:rsid w:val="007F2783"/>
    <w:rsid w:val="007F2B9E"/>
    <w:rsid w:val="007F2E2B"/>
    <w:rsid w:val="007F3949"/>
    <w:rsid w:val="007F3C4B"/>
    <w:rsid w:val="007F421F"/>
    <w:rsid w:val="007F4F2A"/>
    <w:rsid w:val="007F5565"/>
    <w:rsid w:val="007F578A"/>
    <w:rsid w:val="007F6469"/>
    <w:rsid w:val="007F7051"/>
    <w:rsid w:val="007F786B"/>
    <w:rsid w:val="008016C0"/>
    <w:rsid w:val="008018D3"/>
    <w:rsid w:val="00802662"/>
    <w:rsid w:val="00802C60"/>
    <w:rsid w:val="008043FA"/>
    <w:rsid w:val="0080618E"/>
    <w:rsid w:val="00806E9F"/>
    <w:rsid w:val="00807719"/>
    <w:rsid w:val="008105A5"/>
    <w:rsid w:val="008107CB"/>
    <w:rsid w:val="0081081E"/>
    <w:rsid w:val="008115E7"/>
    <w:rsid w:val="0081178C"/>
    <w:rsid w:val="00812311"/>
    <w:rsid w:val="008126BA"/>
    <w:rsid w:val="008130C0"/>
    <w:rsid w:val="00813343"/>
    <w:rsid w:val="00813659"/>
    <w:rsid w:val="0081395C"/>
    <w:rsid w:val="0081564A"/>
    <w:rsid w:val="00815AFD"/>
    <w:rsid w:val="00816250"/>
    <w:rsid w:val="008169B9"/>
    <w:rsid w:val="00816B9F"/>
    <w:rsid w:val="00817F74"/>
    <w:rsid w:val="008204C3"/>
    <w:rsid w:val="00820667"/>
    <w:rsid w:val="008228F3"/>
    <w:rsid w:val="00825EA1"/>
    <w:rsid w:val="0082678B"/>
    <w:rsid w:val="00826B75"/>
    <w:rsid w:val="008303F9"/>
    <w:rsid w:val="0083086C"/>
    <w:rsid w:val="00830F6E"/>
    <w:rsid w:val="0083118F"/>
    <w:rsid w:val="00831756"/>
    <w:rsid w:val="00831B8A"/>
    <w:rsid w:val="008331C3"/>
    <w:rsid w:val="0083366B"/>
    <w:rsid w:val="00835378"/>
    <w:rsid w:val="0083559C"/>
    <w:rsid w:val="00836882"/>
    <w:rsid w:val="00837114"/>
    <w:rsid w:val="00837BA2"/>
    <w:rsid w:val="00837F30"/>
    <w:rsid w:val="00840A56"/>
    <w:rsid w:val="0084263F"/>
    <w:rsid w:val="0084270D"/>
    <w:rsid w:val="00843662"/>
    <w:rsid w:val="00843D1B"/>
    <w:rsid w:val="00844241"/>
    <w:rsid w:val="00844335"/>
    <w:rsid w:val="00846D17"/>
    <w:rsid w:val="00846D44"/>
    <w:rsid w:val="00847EED"/>
    <w:rsid w:val="008509C6"/>
    <w:rsid w:val="008515ED"/>
    <w:rsid w:val="00852741"/>
    <w:rsid w:val="00852ECE"/>
    <w:rsid w:val="00853313"/>
    <w:rsid w:val="00853DEC"/>
    <w:rsid w:val="00854E6E"/>
    <w:rsid w:val="008555C6"/>
    <w:rsid w:val="00855BCD"/>
    <w:rsid w:val="00856612"/>
    <w:rsid w:val="00856E88"/>
    <w:rsid w:val="00857820"/>
    <w:rsid w:val="00860DA9"/>
    <w:rsid w:val="00861DC9"/>
    <w:rsid w:val="008623D7"/>
    <w:rsid w:val="008628D1"/>
    <w:rsid w:val="008630EF"/>
    <w:rsid w:val="00864241"/>
    <w:rsid w:val="008658A0"/>
    <w:rsid w:val="00865CF4"/>
    <w:rsid w:val="0086634A"/>
    <w:rsid w:val="0086688D"/>
    <w:rsid w:val="00866B0F"/>
    <w:rsid w:val="008704DA"/>
    <w:rsid w:val="008710CE"/>
    <w:rsid w:val="00871FE7"/>
    <w:rsid w:val="008721D0"/>
    <w:rsid w:val="008745B2"/>
    <w:rsid w:val="00874988"/>
    <w:rsid w:val="008751ED"/>
    <w:rsid w:val="00875E59"/>
    <w:rsid w:val="008764CF"/>
    <w:rsid w:val="00876659"/>
    <w:rsid w:val="00880CB9"/>
    <w:rsid w:val="00881846"/>
    <w:rsid w:val="00882DFD"/>
    <w:rsid w:val="008835E3"/>
    <w:rsid w:val="00883A28"/>
    <w:rsid w:val="008841DC"/>
    <w:rsid w:val="008842EE"/>
    <w:rsid w:val="00886871"/>
    <w:rsid w:val="008869AD"/>
    <w:rsid w:val="00886B17"/>
    <w:rsid w:val="00886DED"/>
    <w:rsid w:val="008908B6"/>
    <w:rsid w:val="00891A6B"/>
    <w:rsid w:val="008934B5"/>
    <w:rsid w:val="008969AF"/>
    <w:rsid w:val="00897BB1"/>
    <w:rsid w:val="008A059C"/>
    <w:rsid w:val="008A188E"/>
    <w:rsid w:val="008A1A05"/>
    <w:rsid w:val="008A1B1B"/>
    <w:rsid w:val="008A1D88"/>
    <w:rsid w:val="008A2A86"/>
    <w:rsid w:val="008A336C"/>
    <w:rsid w:val="008A539B"/>
    <w:rsid w:val="008A5434"/>
    <w:rsid w:val="008A73DA"/>
    <w:rsid w:val="008A78E5"/>
    <w:rsid w:val="008A7EB6"/>
    <w:rsid w:val="008B069D"/>
    <w:rsid w:val="008B0B33"/>
    <w:rsid w:val="008B1D64"/>
    <w:rsid w:val="008B2DF1"/>
    <w:rsid w:val="008B3A3D"/>
    <w:rsid w:val="008B4397"/>
    <w:rsid w:val="008B59A5"/>
    <w:rsid w:val="008B5DB5"/>
    <w:rsid w:val="008B66C8"/>
    <w:rsid w:val="008B6849"/>
    <w:rsid w:val="008B7637"/>
    <w:rsid w:val="008C1C39"/>
    <w:rsid w:val="008C250F"/>
    <w:rsid w:val="008C3984"/>
    <w:rsid w:val="008C3A4D"/>
    <w:rsid w:val="008C3DC8"/>
    <w:rsid w:val="008C4C37"/>
    <w:rsid w:val="008C50CB"/>
    <w:rsid w:val="008C5D6B"/>
    <w:rsid w:val="008C76DB"/>
    <w:rsid w:val="008D1559"/>
    <w:rsid w:val="008D15CD"/>
    <w:rsid w:val="008D253A"/>
    <w:rsid w:val="008D2712"/>
    <w:rsid w:val="008D27F4"/>
    <w:rsid w:val="008D30E0"/>
    <w:rsid w:val="008D3C37"/>
    <w:rsid w:val="008D3EB0"/>
    <w:rsid w:val="008D5155"/>
    <w:rsid w:val="008D5967"/>
    <w:rsid w:val="008D7198"/>
    <w:rsid w:val="008D722C"/>
    <w:rsid w:val="008D79FC"/>
    <w:rsid w:val="008D7C2B"/>
    <w:rsid w:val="008E1E35"/>
    <w:rsid w:val="008E4118"/>
    <w:rsid w:val="008E41B6"/>
    <w:rsid w:val="008E4B5D"/>
    <w:rsid w:val="008E504E"/>
    <w:rsid w:val="008E64C6"/>
    <w:rsid w:val="008E6E05"/>
    <w:rsid w:val="008E7F9D"/>
    <w:rsid w:val="008F32FA"/>
    <w:rsid w:val="008F52E3"/>
    <w:rsid w:val="008F6A23"/>
    <w:rsid w:val="008F708B"/>
    <w:rsid w:val="00902171"/>
    <w:rsid w:val="00902A84"/>
    <w:rsid w:val="009046B5"/>
    <w:rsid w:val="00906059"/>
    <w:rsid w:val="009067D0"/>
    <w:rsid w:val="009103EC"/>
    <w:rsid w:val="00912797"/>
    <w:rsid w:val="009128CF"/>
    <w:rsid w:val="00913369"/>
    <w:rsid w:val="00914934"/>
    <w:rsid w:val="00914BBF"/>
    <w:rsid w:val="00914D5C"/>
    <w:rsid w:val="00915003"/>
    <w:rsid w:val="009163D5"/>
    <w:rsid w:val="009170FB"/>
    <w:rsid w:val="0091719A"/>
    <w:rsid w:val="009172DF"/>
    <w:rsid w:val="009173A9"/>
    <w:rsid w:val="0092032A"/>
    <w:rsid w:val="009225CA"/>
    <w:rsid w:val="00923982"/>
    <w:rsid w:val="00923F8A"/>
    <w:rsid w:val="00924716"/>
    <w:rsid w:val="009247E4"/>
    <w:rsid w:val="00924B71"/>
    <w:rsid w:val="00924E43"/>
    <w:rsid w:val="009250F2"/>
    <w:rsid w:val="00925727"/>
    <w:rsid w:val="009266F0"/>
    <w:rsid w:val="009279CA"/>
    <w:rsid w:val="00927F9D"/>
    <w:rsid w:val="00930645"/>
    <w:rsid w:val="00930768"/>
    <w:rsid w:val="009309B7"/>
    <w:rsid w:val="0093132A"/>
    <w:rsid w:val="00932A45"/>
    <w:rsid w:val="009338AC"/>
    <w:rsid w:val="00933BC9"/>
    <w:rsid w:val="009361DD"/>
    <w:rsid w:val="009401C2"/>
    <w:rsid w:val="009402D3"/>
    <w:rsid w:val="0094152A"/>
    <w:rsid w:val="00941605"/>
    <w:rsid w:val="00941829"/>
    <w:rsid w:val="00942FED"/>
    <w:rsid w:val="00943963"/>
    <w:rsid w:val="00943DAA"/>
    <w:rsid w:val="00944791"/>
    <w:rsid w:val="00945600"/>
    <w:rsid w:val="00945B07"/>
    <w:rsid w:val="00945B2E"/>
    <w:rsid w:val="00947232"/>
    <w:rsid w:val="009479C7"/>
    <w:rsid w:val="00947AEC"/>
    <w:rsid w:val="00950BC2"/>
    <w:rsid w:val="009511AA"/>
    <w:rsid w:val="00951717"/>
    <w:rsid w:val="0095412D"/>
    <w:rsid w:val="009548E0"/>
    <w:rsid w:val="00954A7D"/>
    <w:rsid w:val="009579FE"/>
    <w:rsid w:val="00957B81"/>
    <w:rsid w:val="009608FD"/>
    <w:rsid w:val="00961F74"/>
    <w:rsid w:val="009627FA"/>
    <w:rsid w:val="00962B23"/>
    <w:rsid w:val="0096350F"/>
    <w:rsid w:val="009637D0"/>
    <w:rsid w:val="00963C68"/>
    <w:rsid w:val="00964B1B"/>
    <w:rsid w:val="00965010"/>
    <w:rsid w:val="00965199"/>
    <w:rsid w:val="00965702"/>
    <w:rsid w:val="00965F2F"/>
    <w:rsid w:val="0096736C"/>
    <w:rsid w:val="00967860"/>
    <w:rsid w:val="00971891"/>
    <w:rsid w:val="00972414"/>
    <w:rsid w:val="00972A67"/>
    <w:rsid w:val="00972E89"/>
    <w:rsid w:val="00972F5E"/>
    <w:rsid w:val="00973209"/>
    <w:rsid w:val="009740B5"/>
    <w:rsid w:val="00981161"/>
    <w:rsid w:val="009811F7"/>
    <w:rsid w:val="009819A9"/>
    <w:rsid w:val="00982809"/>
    <w:rsid w:val="00982EB1"/>
    <w:rsid w:val="009833A4"/>
    <w:rsid w:val="00983E41"/>
    <w:rsid w:val="00987199"/>
    <w:rsid w:val="009873B4"/>
    <w:rsid w:val="00987939"/>
    <w:rsid w:val="009879AC"/>
    <w:rsid w:val="00990DFA"/>
    <w:rsid w:val="00990FBB"/>
    <w:rsid w:val="00991049"/>
    <w:rsid w:val="00991872"/>
    <w:rsid w:val="00992111"/>
    <w:rsid w:val="00992377"/>
    <w:rsid w:val="009925AC"/>
    <w:rsid w:val="009928CA"/>
    <w:rsid w:val="00993DB8"/>
    <w:rsid w:val="0099429C"/>
    <w:rsid w:val="009955A7"/>
    <w:rsid w:val="00996ABE"/>
    <w:rsid w:val="009976A0"/>
    <w:rsid w:val="00997D05"/>
    <w:rsid w:val="009A2108"/>
    <w:rsid w:val="009A2C28"/>
    <w:rsid w:val="009A2D25"/>
    <w:rsid w:val="009A2D2D"/>
    <w:rsid w:val="009A351A"/>
    <w:rsid w:val="009A36C5"/>
    <w:rsid w:val="009A3EA0"/>
    <w:rsid w:val="009A4805"/>
    <w:rsid w:val="009A4E08"/>
    <w:rsid w:val="009A620C"/>
    <w:rsid w:val="009A6331"/>
    <w:rsid w:val="009A7474"/>
    <w:rsid w:val="009A765F"/>
    <w:rsid w:val="009B153E"/>
    <w:rsid w:val="009B1746"/>
    <w:rsid w:val="009B22DB"/>
    <w:rsid w:val="009B24E9"/>
    <w:rsid w:val="009B31FD"/>
    <w:rsid w:val="009B3884"/>
    <w:rsid w:val="009B578A"/>
    <w:rsid w:val="009B5C13"/>
    <w:rsid w:val="009B5DC5"/>
    <w:rsid w:val="009B6F19"/>
    <w:rsid w:val="009B7315"/>
    <w:rsid w:val="009C2B32"/>
    <w:rsid w:val="009C4635"/>
    <w:rsid w:val="009C47A3"/>
    <w:rsid w:val="009C4850"/>
    <w:rsid w:val="009C50BE"/>
    <w:rsid w:val="009C5339"/>
    <w:rsid w:val="009C5910"/>
    <w:rsid w:val="009C66C1"/>
    <w:rsid w:val="009C66FC"/>
    <w:rsid w:val="009D064D"/>
    <w:rsid w:val="009D0B89"/>
    <w:rsid w:val="009D103D"/>
    <w:rsid w:val="009D2F01"/>
    <w:rsid w:val="009D5834"/>
    <w:rsid w:val="009D68E8"/>
    <w:rsid w:val="009D7718"/>
    <w:rsid w:val="009D7882"/>
    <w:rsid w:val="009D7C8E"/>
    <w:rsid w:val="009D7F1C"/>
    <w:rsid w:val="009E00A2"/>
    <w:rsid w:val="009E113B"/>
    <w:rsid w:val="009E200D"/>
    <w:rsid w:val="009E2B56"/>
    <w:rsid w:val="009E2F13"/>
    <w:rsid w:val="009E31B5"/>
    <w:rsid w:val="009E41DE"/>
    <w:rsid w:val="009E76E2"/>
    <w:rsid w:val="009F0814"/>
    <w:rsid w:val="009F0A9C"/>
    <w:rsid w:val="009F33B3"/>
    <w:rsid w:val="009F3611"/>
    <w:rsid w:val="009F46CE"/>
    <w:rsid w:val="009F49D2"/>
    <w:rsid w:val="009F5648"/>
    <w:rsid w:val="009F64FE"/>
    <w:rsid w:val="009F7455"/>
    <w:rsid w:val="009F7DF5"/>
    <w:rsid w:val="00A001E0"/>
    <w:rsid w:val="00A02322"/>
    <w:rsid w:val="00A02CE5"/>
    <w:rsid w:val="00A042FF"/>
    <w:rsid w:val="00A05448"/>
    <w:rsid w:val="00A059AE"/>
    <w:rsid w:val="00A05CBF"/>
    <w:rsid w:val="00A05DAD"/>
    <w:rsid w:val="00A06676"/>
    <w:rsid w:val="00A10D74"/>
    <w:rsid w:val="00A1105F"/>
    <w:rsid w:val="00A1149F"/>
    <w:rsid w:val="00A125B8"/>
    <w:rsid w:val="00A13039"/>
    <w:rsid w:val="00A13D89"/>
    <w:rsid w:val="00A15014"/>
    <w:rsid w:val="00A154F0"/>
    <w:rsid w:val="00A17076"/>
    <w:rsid w:val="00A1727D"/>
    <w:rsid w:val="00A17D17"/>
    <w:rsid w:val="00A17DAD"/>
    <w:rsid w:val="00A2115C"/>
    <w:rsid w:val="00A241CC"/>
    <w:rsid w:val="00A24971"/>
    <w:rsid w:val="00A2574D"/>
    <w:rsid w:val="00A25A17"/>
    <w:rsid w:val="00A26026"/>
    <w:rsid w:val="00A26C8B"/>
    <w:rsid w:val="00A3115C"/>
    <w:rsid w:val="00A3121D"/>
    <w:rsid w:val="00A3142A"/>
    <w:rsid w:val="00A31FE6"/>
    <w:rsid w:val="00A32D63"/>
    <w:rsid w:val="00A348C4"/>
    <w:rsid w:val="00A361BD"/>
    <w:rsid w:val="00A376FD"/>
    <w:rsid w:val="00A37D95"/>
    <w:rsid w:val="00A410B6"/>
    <w:rsid w:val="00A412F9"/>
    <w:rsid w:val="00A414FB"/>
    <w:rsid w:val="00A41A27"/>
    <w:rsid w:val="00A42421"/>
    <w:rsid w:val="00A435D6"/>
    <w:rsid w:val="00A46A35"/>
    <w:rsid w:val="00A470FF"/>
    <w:rsid w:val="00A516C9"/>
    <w:rsid w:val="00A51EB4"/>
    <w:rsid w:val="00A5267E"/>
    <w:rsid w:val="00A52E9C"/>
    <w:rsid w:val="00A53C9F"/>
    <w:rsid w:val="00A54DB8"/>
    <w:rsid w:val="00A558FA"/>
    <w:rsid w:val="00A55E70"/>
    <w:rsid w:val="00A56867"/>
    <w:rsid w:val="00A56C84"/>
    <w:rsid w:val="00A61881"/>
    <w:rsid w:val="00A6448B"/>
    <w:rsid w:val="00A6452D"/>
    <w:rsid w:val="00A652E1"/>
    <w:rsid w:val="00A65994"/>
    <w:rsid w:val="00A65E28"/>
    <w:rsid w:val="00A6692D"/>
    <w:rsid w:val="00A671B9"/>
    <w:rsid w:val="00A7019F"/>
    <w:rsid w:val="00A7097C"/>
    <w:rsid w:val="00A709EF"/>
    <w:rsid w:val="00A70BD4"/>
    <w:rsid w:val="00A71AD8"/>
    <w:rsid w:val="00A7266B"/>
    <w:rsid w:val="00A7402A"/>
    <w:rsid w:val="00A7484B"/>
    <w:rsid w:val="00A74E62"/>
    <w:rsid w:val="00A7567A"/>
    <w:rsid w:val="00A75B85"/>
    <w:rsid w:val="00A7605E"/>
    <w:rsid w:val="00A76CA0"/>
    <w:rsid w:val="00A76F15"/>
    <w:rsid w:val="00A7767F"/>
    <w:rsid w:val="00A8015C"/>
    <w:rsid w:val="00A807BA"/>
    <w:rsid w:val="00A80C4F"/>
    <w:rsid w:val="00A81225"/>
    <w:rsid w:val="00A81568"/>
    <w:rsid w:val="00A823D7"/>
    <w:rsid w:val="00A8259C"/>
    <w:rsid w:val="00A830DB"/>
    <w:rsid w:val="00A8690F"/>
    <w:rsid w:val="00A869F5"/>
    <w:rsid w:val="00A86E00"/>
    <w:rsid w:val="00A87901"/>
    <w:rsid w:val="00A87B5E"/>
    <w:rsid w:val="00A91513"/>
    <w:rsid w:val="00A9171E"/>
    <w:rsid w:val="00A929A2"/>
    <w:rsid w:val="00A92BAA"/>
    <w:rsid w:val="00A92C4C"/>
    <w:rsid w:val="00A93A16"/>
    <w:rsid w:val="00A9484B"/>
    <w:rsid w:val="00A952B8"/>
    <w:rsid w:val="00A95B83"/>
    <w:rsid w:val="00A95BFF"/>
    <w:rsid w:val="00A96097"/>
    <w:rsid w:val="00A96E8C"/>
    <w:rsid w:val="00A9782D"/>
    <w:rsid w:val="00A97FA1"/>
    <w:rsid w:val="00AA051A"/>
    <w:rsid w:val="00AA0CE3"/>
    <w:rsid w:val="00AA161B"/>
    <w:rsid w:val="00AA1EDB"/>
    <w:rsid w:val="00AA2D31"/>
    <w:rsid w:val="00AA2DC1"/>
    <w:rsid w:val="00AA4C3B"/>
    <w:rsid w:val="00AA5E78"/>
    <w:rsid w:val="00AA628E"/>
    <w:rsid w:val="00AA62E0"/>
    <w:rsid w:val="00AA6B00"/>
    <w:rsid w:val="00AA73C8"/>
    <w:rsid w:val="00AA7E87"/>
    <w:rsid w:val="00AA7ED4"/>
    <w:rsid w:val="00AB02D1"/>
    <w:rsid w:val="00AB060C"/>
    <w:rsid w:val="00AB1BFD"/>
    <w:rsid w:val="00AB3312"/>
    <w:rsid w:val="00AB36B7"/>
    <w:rsid w:val="00AB4FD3"/>
    <w:rsid w:val="00AB5331"/>
    <w:rsid w:val="00AB56DF"/>
    <w:rsid w:val="00AB59C3"/>
    <w:rsid w:val="00AB696E"/>
    <w:rsid w:val="00AB6D9F"/>
    <w:rsid w:val="00AC01C0"/>
    <w:rsid w:val="00AC0A1C"/>
    <w:rsid w:val="00AC1166"/>
    <w:rsid w:val="00AC21AE"/>
    <w:rsid w:val="00AC379F"/>
    <w:rsid w:val="00AC4D03"/>
    <w:rsid w:val="00AC58DD"/>
    <w:rsid w:val="00AC5933"/>
    <w:rsid w:val="00AC64F4"/>
    <w:rsid w:val="00AD02DE"/>
    <w:rsid w:val="00AD13FC"/>
    <w:rsid w:val="00AD34E0"/>
    <w:rsid w:val="00AD37F6"/>
    <w:rsid w:val="00AD3C64"/>
    <w:rsid w:val="00AD5BCB"/>
    <w:rsid w:val="00AD71EF"/>
    <w:rsid w:val="00AD79C6"/>
    <w:rsid w:val="00AD7BE9"/>
    <w:rsid w:val="00AE004C"/>
    <w:rsid w:val="00AE1D32"/>
    <w:rsid w:val="00AE3A29"/>
    <w:rsid w:val="00AE3BC4"/>
    <w:rsid w:val="00AE3F7E"/>
    <w:rsid w:val="00AE49D4"/>
    <w:rsid w:val="00AE4AC8"/>
    <w:rsid w:val="00AE52E1"/>
    <w:rsid w:val="00AE7852"/>
    <w:rsid w:val="00AE7ABE"/>
    <w:rsid w:val="00AF1ADA"/>
    <w:rsid w:val="00AF2C10"/>
    <w:rsid w:val="00AF2DE3"/>
    <w:rsid w:val="00AF31A0"/>
    <w:rsid w:val="00AF3463"/>
    <w:rsid w:val="00AF383A"/>
    <w:rsid w:val="00AF3F6D"/>
    <w:rsid w:val="00AF4A2A"/>
    <w:rsid w:val="00AF54BE"/>
    <w:rsid w:val="00B02B1C"/>
    <w:rsid w:val="00B0340F"/>
    <w:rsid w:val="00B035ED"/>
    <w:rsid w:val="00B04255"/>
    <w:rsid w:val="00B04902"/>
    <w:rsid w:val="00B05281"/>
    <w:rsid w:val="00B05B0F"/>
    <w:rsid w:val="00B05BBF"/>
    <w:rsid w:val="00B05F19"/>
    <w:rsid w:val="00B0637C"/>
    <w:rsid w:val="00B073AF"/>
    <w:rsid w:val="00B10730"/>
    <w:rsid w:val="00B12F40"/>
    <w:rsid w:val="00B12F45"/>
    <w:rsid w:val="00B141CF"/>
    <w:rsid w:val="00B1426E"/>
    <w:rsid w:val="00B1443D"/>
    <w:rsid w:val="00B1594F"/>
    <w:rsid w:val="00B166DF"/>
    <w:rsid w:val="00B16B2D"/>
    <w:rsid w:val="00B17D52"/>
    <w:rsid w:val="00B17EE1"/>
    <w:rsid w:val="00B209EF"/>
    <w:rsid w:val="00B2325D"/>
    <w:rsid w:val="00B23D4A"/>
    <w:rsid w:val="00B2437C"/>
    <w:rsid w:val="00B244BB"/>
    <w:rsid w:val="00B2567D"/>
    <w:rsid w:val="00B26E11"/>
    <w:rsid w:val="00B27637"/>
    <w:rsid w:val="00B27D24"/>
    <w:rsid w:val="00B30439"/>
    <w:rsid w:val="00B30AA4"/>
    <w:rsid w:val="00B30ED9"/>
    <w:rsid w:val="00B319A0"/>
    <w:rsid w:val="00B31B9F"/>
    <w:rsid w:val="00B31D0B"/>
    <w:rsid w:val="00B326B4"/>
    <w:rsid w:val="00B33063"/>
    <w:rsid w:val="00B3400B"/>
    <w:rsid w:val="00B3433D"/>
    <w:rsid w:val="00B34CB5"/>
    <w:rsid w:val="00B34E8F"/>
    <w:rsid w:val="00B35107"/>
    <w:rsid w:val="00B35F78"/>
    <w:rsid w:val="00B365F6"/>
    <w:rsid w:val="00B367D1"/>
    <w:rsid w:val="00B37016"/>
    <w:rsid w:val="00B40B23"/>
    <w:rsid w:val="00B416D0"/>
    <w:rsid w:val="00B41AF8"/>
    <w:rsid w:val="00B41C76"/>
    <w:rsid w:val="00B42261"/>
    <w:rsid w:val="00B43CCE"/>
    <w:rsid w:val="00B44746"/>
    <w:rsid w:val="00B44E15"/>
    <w:rsid w:val="00B45C75"/>
    <w:rsid w:val="00B46C6A"/>
    <w:rsid w:val="00B47097"/>
    <w:rsid w:val="00B470B5"/>
    <w:rsid w:val="00B50F97"/>
    <w:rsid w:val="00B510AE"/>
    <w:rsid w:val="00B5127D"/>
    <w:rsid w:val="00B51A9E"/>
    <w:rsid w:val="00B5498E"/>
    <w:rsid w:val="00B55503"/>
    <w:rsid w:val="00B55AEC"/>
    <w:rsid w:val="00B567CE"/>
    <w:rsid w:val="00B5689C"/>
    <w:rsid w:val="00B56F10"/>
    <w:rsid w:val="00B57970"/>
    <w:rsid w:val="00B57A9A"/>
    <w:rsid w:val="00B57AAB"/>
    <w:rsid w:val="00B61624"/>
    <w:rsid w:val="00B63450"/>
    <w:rsid w:val="00B6580F"/>
    <w:rsid w:val="00B66C61"/>
    <w:rsid w:val="00B6762B"/>
    <w:rsid w:val="00B67F04"/>
    <w:rsid w:val="00B7000F"/>
    <w:rsid w:val="00B704DC"/>
    <w:rsid w:val="00B716E0"/>
    <w:rsid w:val="00B71B7B"/>
    <w:rsid w:val="00B725CD"/>
    <w:rsid w:val="00B727FC"/>
    <w:rsid w:val="00B759E2"/>
    <w:rsid w:val="00B766C2"/>
    <w:rsid w:val="00B77F12"/>
    <w:rsid w:val="00B77FBB"/>
    <w:rsid w:val="00B80B3D"/>
    <w:rsid w:val="00B80FA0"/>
    <w:rsid w:val="00B81182"/>
    <w:rsid w:val="00B813B6"/>
    <w:rsid w:val="00B82394"/>
    <w:rsid w:val="00B83160"/>
    <w:rsid w:val="00B839F0"/>
    <w:rsid w:val="00B84598"/>
    <w:rsid w:val="00B85341"/>
    <w:rsid w:val="00B85D8B"/>
    <w:rsid w:val="00B85D96"/>
    <w:rsid w:val="00B86242"/>
    <w:rsid w:val="00B863A0"/>
    <w:rsid w:val="00B86B2B"/>
    <w:rsid w:val="00B86F34"/>
    <w:rsid w:val="00B87545"/>
    <w:rsid w:val="00B903FB"/>
    <w:rsid w:val="00B911D7"/>
    <w:rsid w:val="00B91C35"/>
    <w:rsid w:val="00B92328"/>
    <w:rsid w:val="00B92FE1"/>
    <w:rsid w:val="00B93832"/>
    <w:rsid w:val="00B93DDC"/>
    <w:rsid w:val="00B93FDF"/>
    <w:rsid w:val="00B974C6"/>
    <w:rsid w:val="00B975B6"/>
    <w:rsid w:val="00B97BD7"/>
    <w:rsid w:val="00BA027A"/>
    <w:rsid w:val="00BA0AFA"/>
    <w:rsid w:val="00BA0C47"/>
    <w:rsid w:val="00BA139F"/>
    <w:rsid w:val="00BA1678"/>
    <w:rsid w:val="00BA54FB"/>
    <w:rsid w:val="00BA6D6E"/>
    <w:rsid w:val="00BA77A6"/>
    <w:rsid w:val="00BB0D38"/>
    <w:rsid w:val="00BB320E"/>
    <w:rsid w:val="00BB34A8"/>
    <w:rsid w:val="00BB3C36"/>
    <w:rsid w:val="00BB3E83"/>
    <w:rsid w:val="00BB4011"/>
    <w:rsid w:val="00BB42F4"/>
    <w:rsid w:val="00BB6C7E"/>
    <w:rsid w:val="00BB7F82"/>
    <w:rsid w:val="00BC0461"/>
    <w:rsid w:val="00BC1199"/>
    <w:rsid w:val="00BC2D9A"/>
    <w:rsid w:val="00BC3D5B"/>
    <w:rsid w:val="00BC3F1C"/>
    <w:rsid w:val="00BC6220"/>
    <w:rsid w:val="00BC6B15"/>
    <w:rsid w:val="00BC6B98"/>
    <w:rsid w:val="00BC6F5A"/>
    <w:rsid w:val="00BC75F5"/>
    <w:rsid w:val="00BD0372"/>
    <w:rsid w:val="00BD039B"/>
    <w:rsid w:val="00BD152D"/>
    <w:rsid w:val="00BD1DE8"/>
    <w:rsid w:val="00BD21EA"/>
    <w:rsid w:val="00BD2FD0"/>
    <w:rsid w:val="00BD41A4"/>
    <w:rsid w:val="00BD47B8"/>
    <w:rsid w:val="00BD4F32"/>
    <w:rsid w:val="00BD508E"/>
    <w:rsid w:val="00BD644B"/>
    <w:rsid w:val="00BD65C1"/>
    <w:rsid w:val="00BE100E"/>
    <w:rsid w:val="00BE1F11"/>
    <w:rsid w:val="00BE2193"/>
    <w:rsid w:val="00BE43CD"/>
    <w:rsid w:val="00BE4B9A"/>
    <w:rsid w:val="00BE4F7E"/>
    <w:rsid w:val="00BE598A"/>
    <w:rsid w:val="00BE615B"/>
    <w:rsid w:val="00BE634D"/>
    <w:rsid w:val="00BE73FF"/>
    <w:rsid w:val="00BF0021"/>
    <w:rsid w:val="00BF0489"/>
    <w:rsid w:val="00BF0997"/>
    <w:rsid w:val="00BF0AE8"/>
    <w:rsid w:val="00BF2FD8"/>
    <w:rsid w:val="00BF4FD7"/>
    <w:rsid w:val="00BF7CCD"/>
    <w:rsid w:val="00C00589"/>
    <w:rsid w:val="00C01C80"/>
    <w:rsid w:val="00C01F00"/>
    <w:rsid w:val="00C01F26"/>
    <w:rsid w:val="00C02219"/>
    <w:rsid w:val="00C023E7"/>
    <w:rsid w:val="00C0559D"/>
    <w:rsid w:val="00C05F1B"/>
    <w:rsid w:val="00C06006"/>
    <w:rsid w:val="00C072F2"/>
    <w:rsid w:val="00C11CEF"/>
    <w:rsid w:val="00C13C68"/>
    <w:rsid w:val="00C14507"/>
    <w:rsid w:val="00C14604"/>
    <w:rsid w:val="00C1470B"/>
    <w:rsid w:val="00C17E8B"/>
    <w:rsid w:val="00C2030B"/>
    <w:rsid w:val="00C208FD"/>
    <w:rsid w:val="00C20CE6"/>
    <w:rsid w:val="00C22253"/>
    <w:rsid w:val="00C2240C"/>
    <w:rsid w:val="00C22496"/>
    <w:rsid w:val="00C22C11"/>
    <w:rsid w:val="00C2308C"/>
    <w:rsid w:val="00C23BB4"/>
    <w:rsid w:val="00C24733"/>
    <w:rsid w:val="00C25211"/>
    <w:rsid w:val="00C25FF1"/>
    <w:rsid w:val="00C26403"/>
    <w:rsid w:val="00C27A04"/>
    <w:rsid w:val="00C300C4"/>
    <w:rsid w:val="00C311BB"/>
    <w:rsid w:val="00C313FA"/>
    <w:rsid w:val="00C317FF"/>
    <w:rsid w:val="00C31961"/>
    <w:rsid w:val="00C319B8"/>
    <w:rsid w:val="00C31B56"/>
    <w:rsid w:val="00C31E00"/>
    <w:rsid w:val="00C34424"/>
    <w:rsid w:val="00C34DE2"/>
    <w:rsid w:val="00C34F49"/>
    <w:rsid w:val="00C37EEE"/>
    <w:rsid w:val="00C405BB"/>
    <w:rsid w:val="00C40811"/>
    <w:rsid w:val="00C40B44"/>
    <w:rsid w:val="00C40EA2"/>
    <w:rsid w:val="00C40F1D"/>
    <w:rsid w:val="00C40F53"/>
    <w:rsid w:val="00C422E0"/>
    <w:rsid w:val="00C42D6A"/>
    <w:rsid w:val="00C43183"/>
    <w:rsid w:val="00C470F1"/>
    <w:rsid w:val="00C5044D"/>
    <w:rsid w:val="00C51118"/>
    <w:rsid w:val="00C51577"/>
    <w:rsid w:val="00C51A3F"/>
    <w:rsid w:val="00C528DC"/>
    <w:rsid w:val="00C52EF2"/>
    <w:rsid w:val="00C53E38"/>
    <w:rsid w:val="00C54160"/>
    <w:rsid w:val="00C543BA"/>
    <w:rsid w:val="00C548FC"/>
    <w:rsid w:val="00C55BA6"/>
    <w:rsid w:val="00C5622D"/>
    <w:rsid w:val="00C57052"/>
    <w:rsid w:val="00C6162A"/>
    <w:rsid w:val="00C61E31"/>
    <w:rsid w:val="00C63FD0"/>
    <w:rsid w:val="00C64EDC"/>
    <w:rsid w:val="00C66919"/>
    <w:rsid w:val="00C66B12"/>
    <w:rsid w:val="00C6711D"/>
    <w:rsid w:val="00C675B2"/>
    <w:rsid w:val="00C70ED1"/>
    <w:rsid w:val="00C71055"/>
    <w:rsid w:val="00C7281E"/>
    <w:rsid w:val="00C73939"/>
    <w:rsid w:val="00C739E4"/>
    <w:rsid w:val="00C74E66"/>
    <w:rsid w:val="00C7577D"/>
    <w:rsid w:val="00C76F4D"/>
    <w:rsid w:val="00C77431"/>
    <w:rsid w:val="00C77A55"/>
    <w:rsid w:val="00C77ADA"/>
    <w:rsid w:val="00C80990"/>
    <w:rsid w:val="00C8171A"/>
    <w:rsid w:val="00C817F0"/>
    <w:rsid w:val="00C82EBD"/>
    <w:rsid w:val="00C8440F"/>
    <w:rsid w:val="00C85AE9"/>
    <w:rsid w:val="00C87165"/>
    <w:rsid w:val="00C87D34"/>
    <w:rsid w:val="00C907DD"/>
    <w:rsid w:val="00C90838"/>
    <w:rsid w:val="00C91ED8"/>
    <w:rsid w:val="00C91FC0"/>
    <w:rsid w:val="00C928CF"/>
    <w:rsid w:val="00C92D5D"/>
    <w:rsid w:val="00C93459"/>
    <w:rsid w:val="00C93629"/>
    <w:rsid w:val="00C948BB"/>
    <w:rsid w:val="00C95524"/>
    <w:rsid w:val="00C968A0"/>
    <w:rsid w:val="00C96B1E"/>
    <w:rsid w:val="00C97330"/>
    <w:rsid w:val="00CA2038"/>
    <w:rsid w:val="00CA39DB"/>
    <w:rsid w:val="00CA421B"/>
    <w:rsid w:val="00CA52CE"/>
    <w:rsid w:val="00CA592B"/>
    <w:rsid w:val="00CA5C0C"/>
    <w:rsid w:val="00CA644F"/>
    <w:rsid w:val="00CA6DDC"/>
    <w:rsid w:val="00CA7096"/>
    <w:rsid w:val="00CA7CA8"/>
    <w:rsid w:val="00CB0D73"/>
    <w:rsid w:val="00CB0EF7"/>
    <w:rsid w:val="00CB100E"/>
    <w:rsid w:val="00CB1654"/>
    <w:rsid w:val="00CB1C5A"/>
    <w:rsid w:val="00CB241C"/>
    <w:rsid w:val="00CB2BB3"/>
    <w:rsid w:val="00CB474C"/>
    <w:rsid w:val="00CB4D11"/>
    <w:rsid w:val="00CB4E17"/>
    <w:rsid w:val="00CB56D0"/>
    <w:rsid w:val="00CB5BF2"/>
    <w:rsid w:val="00CB5E2C"/>
    <w:rsid w:val="00CB5EFE"/>
    <w:rsid w:val="00CB6800"/>
    <w:rsid w:val="00CC0BF3"/>
    <w:rsid w:val="00CC0CB6"/>
    <w:rsid w:val="00CC0E6B"/>
    <w:rsid w:val="00CC0F34"/>
    <w:rsid w:val="00CC11FF"/>
    <w:rsid w:val="00CC131B"/>
    <w:rsid w:val="00CC1573"/>
    <w:rsid w:val="00CC16E1"/>
    <w:rsid w:val="00CC2A3D"/>
    <w:rsid w:val="00CC3E35"/>
    <w:rsid w:val="00CC3FF5"/>
    <w:rsid w:val="00CC4784"/>
    <w:rsid w:val="00CC4C14"/>
    <w:rsid w:val="00CC5EF2"/>
    <w:rsid w:val="00CC6E8C"/>
    <w:rsid w:val="00CD03A4"/>
    <w:rsid w:val="00CD1306"/>
    <w:rsid w:val="00CD167F"/>
    <w:rsid w:val="00CD1958"/>
    <w:rsid w:val="00CD19D3"/>
    <w:rsid w:val="00CD1A3C"/>
    <w:rsid w:val="00CD22DF"/>
    <w:rsid w:val="00CD40D0"/>
    <w:rsid w:val="00CD4B06"/>
    <w:rsid w:val="00CD57FD"/>
    <w:rsid w:val="00CD665E"/>
    <w:rsid w:val="00CD66D6"/>
    <w:rsid w:val="00CD7EA7"/>
    <w:rsid w:val="00CE067F"/>
    <w:rsid w:val="00CE090D"/>
    <w:rsid w:val="00CE1E0E"/>
    <w:rsid w:val="00CE344D"/>
    <w:rsid w:val="00CE48C5"/>
    <w:rsid w:val="00CE524D"/>
    <w:rsid w:val="00CE601E"/>
    <w:rsid w:val="00CF0B16"/>
    <w:rsid w:val="00CF0D48"/>
    <w:rsid w:val="00CF0F92"/>
    <w:rsid w:val="00CF16B2"/>
    <w:rsid w:val="00CF19F6"/>
    <w:rsid w:val="00CF1DF5"/>
    <w:rsid w:val="00CF2341"/>
    <w:rsid w:val="00CF27A2"/>
    <w:rsid w:val="00CF3530"/>
    <w:rsid w:val="00CF3E8B"/>
    <w:rsid w:val="00CF4312"/>
    <w:rsid w:val="00CF5380"/>
    <w:rsid w:val="00CF7C40"/>
    <w:rsid w:val="00CF7DA5"/>
    <w:rsid w:val="00D0032F"/>
    <w:rsid w:val="00D00AE6"/>
    <w:rsid w:val="00D00C80"/>
    <w:rsid w:val="00D019D7"/>
    <w:rsid w:val="00D047DD"/>
    <w:rsid w:val="00D04F6E"/>
    <w:rsid w:val="00D0534B"/>
    <w:rsid w:val="00D05B1E"/>
    <w:rsid w:val="00D067CE"/>
    <w:rsid w:val="00D07207"/>
    <w:rsid w:val="00D07313"/>
    <w:rsid w:val="00D07381"/>
    <w:rsid w:val="00D07875"/>
    <w:rsid w:val="00D10A5C"/>
    <w:rsid w:val="00D110C0"/>
    <w:rsid w:val="00D1195D"/>
    <w:rsid w:val="00D11FAF"/>
    <w:rsid w:val="00D12371"/>
    <w:rsid w:val="00D123B3"/>
    <w:rsid w:val="00D12B39"/>
    <w:rsid w:val="00D13EB8"/>
    <w:rsid w:val="00D1468F"/>
    <w:rsid w:val="00D15D7A"/>
    <w:rsid w:val="00D15F53"/>
    <w:rsid w:val="00D15FA7"/>
    <w:rsid w:val="00D168C0"/>
    <w:rsid w:val="00D17879"/>
    <w:rsid w:val="00D2013B"/>
    <w:rsid w:val="00D2182F"/>
    <w:rsid w:val="00D2192D"/>
    <w:rsid w:val="00D21A9E"/>
    <w:rsid w:val="00D22551"/>
    <w:rsid w:val="00D245B9"/>
    <w:rsid w:val="00D26D98"/>
    <w:rsid w:val="00D27661"/>
    <w:rsid w:val="00D305D6"/>
    <w:rsid w:val="00D30AA6"/>
    <w:rsid w:val="00D32F47"/>
    <w:rsid w:val="00D337A0"/>
    <w:rsid w:val="00D33967"/>
    <w:rsid w:val="00D34161"/>
    <w:rsid w:val="00D349AA"/>
    <w:rsid w:val="00D35273"/>
    <w:rsid w:val="00D357F0"/>
    <w:rsid w:val="00D35F34"/>
    <w:rsid w:val="00D3717B"/>
    <w:rsid w:val="00D37527"/>
    <w:rsid w:val="00D40D88"/>
    <w:rsid w:val="00D40E51"/>
    <w:rsid w:val="00D4132B"/>
    <w:rsid w:val="00D43527"/>
    <w:rsid w:val="00D441DE"/>
    <w:rsid w:val="00D4568F"/>
    <w:rsid w:val="00D461D6"/>
    <w:rsid w:val="00D4646A"/>
    <w:rsid w:val="00D47295"/>
    <w:rsid w:val="00D51457"/>
    <w:rsid w:val="00D539A7"/>
    <w:rsid w:val="00D53C9C"/>
    <w:rsid w:val="00D54536"/>
    <w:rsid w:val="00D54F5C"/>
    <w:rsid w:val="00D559F4"/>
    <w:rsid w:val="00D576E1"/>
    <w:rsid w:val="00D5775B"/>
    <w:rsid w:val="00D57CEF"/>
    <w:rsid w:val="00D57EB0"/>
    <w:rsid w:val="00D62D39"/>
    <w:rsid w:val="00D62FA3"/>
    <w:rsid w:val="00D62FBB"/>
    <w:rsid w:val="00D63033"/>
    <w:rsid w:val="00D63C0C"/>
    <w:rsid w:val="00D63C1A"/>
    <w:rsid w:val="00D65D80"/>
    <w:rsid w:val="00D66040"/>
    <w:rsid w:val="00D70EB2"/>
    <w:rsid w:val="00D7160B"/>
    <w:rsid w:val="00D71D0D"/>
    <w:rsid w:val="00D751B2"/>
    <w:rsid w:val="00D76B3A"/>
    <w:rsid w:val="00D7736B"/>
    <w:rsid w:val="00D77804"/>
    <w:rsid w:val="00D80C40"/>
    <w:rsid w:val="00D81B8C"/>
    <w:rsid w:val="00D82271"/>
    <w:rsid w:val="00D830FF"/>
    <w:rsid w:val="00D85DEA"/>
    <w:rsid w:val="00D86626"/>
    <w:rsid w:val="00D8662F"/>
    <w:rsid w:val="00D868C6"/>
    <w:rsid w:val="00D92BFA"/>
    <w:rsid w:val="00D93A8D"/>
    <w:rsid w:val="00D93BEC"/>
    <w:rsid w:val="00D9470E"/>
    <w:rsid w:val="00D955E8"/>
    <w:rsid w:val="00D958F6"/>
    <w:rsid w:val="00D95993"/>
    <w:rsid w:val="00D95FBE"/>
    <w:rsid w:val="00D9645E"/>
    <w:rsid w:val="00D967AB"/>
    <w:rsid w:val="00D9722E"/>
    <w:rsid w:val="00D97A27"/>
    <w:rsid w:val="00D97F79"/>
    <w:rsid w:val="00DA28BA"/>
    <w:rsid w:val="00DA2DCF"/>
    <w:rsid w:val="00DA3021"/>
    <w:rsid w:val="00DA4A43"/>
    <w:rsid w:val="00DA4A4D"/>
    <w:rsid w:val="00DA4B93"/>
    <w:rsid w:val="00DA4F07"/>
    <w:rsid w:val="00DA544F"/>
    <w:rsid w:val="00DA6978"/>
    <w:rsid w:val="00DA6A3F"/>
    <w:rsid w:val="00DA6B02"/>
    <w:rsid w:val="00DA6CF2"/>
    <w:rsid w:val="00DA6E02"/>
    <w:rsid w:val="00DA76AC"/>
    <w:rsid w:val="00DB002D"/>
    <w:rsid w:val="00DB0611"/>
    <w:rsid w:val="00DB0EDC"/>
    <w:rsid w:val="00DB10ED"/>
    <w:rsid w:val="00DB1DF5"/>
    <w:rsid w:val="00DB2973"/>
    <w:rsid w:val="00DB3D19"/>
    <w:rsid w:val="00DB4D11"/>
    <w:rsid w:val="00DB53E3"/>
    <w:rsid w:val="00DB5F5F"/>
    <w:rsid w:val="00DB6CAB"/>
    <w:rsid w:val="00DC0258"/>
    <w:rsid w:val="00DC1767"/>
    <w:rsid w:val="00DC1841"/>
    <w:rsid w:val="00DC2465"/>
    <w:rsid w:val="00DC284A"/>
    <w:rsid w:val="00DC2F48"/>
    <w:rsid w:val="00DC3837"/>
    <w:rsid w:val="00DC3921"/>
    <w:rsid w:val="00DC5294"/>
    <w:rsid w:val="00DC53AB"/>
    <w:rsid w:val="00DC56F3"/>
    <w:rsid w:val="00DC598A"/>
    <w:rsid w:val="00DC6FFC"/>
    <w:rsid w:val="00DC7CC5"/>
    <w:rsid w:val="00DC7ED7"/>
    <w:rsid w:val="00DD0008"/>
    <w:rsid w:val="00DD06CD"/>
    <w:rsid w:val="00DD0823"/>
    <w:rsid w:val="00DD0994"/>
    <w:rsid w:val="00DD0C9C"/>
    <w:rsid w:val="00DD2D1A"/>
    <w:rsid w:val="00DD340A"/>
    <w:rsid w:val="00DD393C"/>
    <w:rsid w:val="00DD4164"/>
    <w:rsid w:val="00DD53E0"/>
    <w:rsid w:val="00DD5EB5"/>
    <w:rsid w:val="00DD62A1"/>
    <w:rsid w:val="00DD6C25"/>
    <w:rsid w:val="00DE3086"/>
    <w:rsid w:val="00DE36FD"/>
    <w:rsid w:val="00DE7254"/>
    <w:rsid w:val="00DF0401"/>
    <w:rsid w:val="00DF2919"/>
    <w:rsid w:val="00DF3C2E"/>
    <w:rsid w:val="00DF4113"/>
    <w:rsid w:val="00DF4272"/>
    <w:rsid w:val="00DF434E"/>
    <w:rsid w:val="00DF5A05"/>
    <w:rsid w:val="00DF6145"/>
    <w:rsid w:val="00DF663D"/>
    <w:rsid w:val="00DF73F3"/>
    <w:rsid w:val="00DF7803"/>
    <w:rsid w:val="00E0137A"/>
    <w:rsid w:val="00E0242D"/>
    <w:rsid w:val="00E0254B"/>
    <w:rsid w:val="00E029EA"/>
    <w:rsid w:val="00E038CD"/>
    <w:rsid w:val="00E03E6E"/>
    <w:rsid w:val="00E0414A"/>
    <w:rsid w:val="00E053DF"/>
    <w:rsid w:val="00E0547E"/>
    <w:rsid w:val="00E073EA"/>
    <w:rsid w:val="00E102F5"/>
    <w:rsid w:val="00E10577"/>
    <w:rsid w:val="00E10755"/>
    <w:rsid w:val="00E10F59"/>
    <w:rsid w:val="00E111F3"/>
    <w:rsid w:val="00E116B3"/>
    <w:rsid w:val="00E1217E"/>
    <w:rsid w:val="00E12EA1"/>
    <w:rsid w:val="00E13F90"/>
    <w:rsid w:val="00E14BA2"/>
    <w:rsid w:val="00E1512A"/>
    <w:rsid w:val="00E1592E"/>
    <w:rsid w:val="00E22893"/>
    <w:rsid w:val="00E2376F"/>
    <w:rsid w:val="00E2462B"/>
    <w:rsid w:val="00E3002E"/>
    <w:rsid w:val="00E302B0"/>
    <w:rsid w:val="00E306C1"/>
    <w:rsid w:val="00E30827"/>
    <w:rsid w:val="00E3216D"/>
    <w:rsid w:val="00E328E4"/>
    <w:rsid w:val="00E32FA8"/>
    <w:rsid w:val="00E33071"/>
    <w:rsid w:val="00E33386"/>
    <w:rsid w:val="00E33772"/>
    <w:rsid w:val="00E33F95"/>
    <w:rsid w:val="00E34D43"/>
    <w:rsid w:val="00E351E2"/>
    <w:rsid w:val="00E3540E"/>
    <w:rsid w:val="00E35925"/>
    <w:rsid w:val="00E36FE2"/>
    <w:rsid w:val="00E37E34"/>
    <w:rsid w:val="00E4043D"/>
    <w:rsid w:val="00E40543"/>
    <w:rsid w:val="00E40F37"/>
    <w:rsid w:val="00E40F51"/>
    <w:rsid w:val="00E4250D"/>
    <w:rsid w:val="00E42BCF"/>
    <w:rsid w:val="00E42C95"/>
    <w:rsid w:val="00E4668C"/>
    <w:rsid w:val="00E46FD5"/>
    <w:rsid w:val="00E47C2B"/>
    <w:rsid w:val="00E50217"/>
    <w:rsid w:val="00E509FE"/>
    <w:rsid w:val="00E51029"/>
    <w:rsid w:val="00E52613"/>
    <w:rsid w:val="00E5295D"/>
    <w:rsid w:val="00E542E9"/>
    <w:rsid w:val="00E55915"/>
    <w:rsid w:val="00E56EFC"/>
    <w:rsid w:val="00E57007"/>
    <w:rsid w:val="00E6019C"/>
    <w:rsid w:val="00E604AB"/>
    <w:rsid w:val="00E62330"/>
    <w:rsid w:val="00E632B3"/>
    <w:rsid w:val="00E6431A"/>
    <w:rsid w:val="00E649CB"/>
    <w:rsid w:val="00E64F6F"/>
    <w:rsid w:val="00E651DB"/>
    <w:rsid w:val="00E65337"/>
    <w:rsid w:val="00E65CD7"/>
    <w:rsid w:val="00E670A1"/>
    <w:rsid w:val="00E67E7B"/>
    <w:rsid w:val="00E70AA7"/>
    <w:rsid w:val="00E70D56"/>
    <w:rsid w:val="00E72AE6"/>
    <w:rsid w:val="00E73D21"/>
    <w:rsid w:val="00E73E40"/>
    <w:rsid w:val="00E74C66"/>
    <w:rsid w:val="00E75372"/>
    <w:rsid w:val="00E757C4"/>
    <w:rsid w:val="00E75D38"/>
    <w:rsid w:val="00E77557"/>
    <w:rsid w:val="00E779BB"/>
    <w:rsid w:val="00E82BB5"/>
    <w:rsid w:val="00E83400"/>
    <w:rsid w:val="00E838A1"/>
    <w:rsid w:val="00E85C08"/>
    <w:rsid w:val="00E86489"/>
    <w:rsid w:val="00E86EE3"/>
    <w:rsid w:val="00E87946"/>
    <w:rsid w:val="00E87A09"/>
    <w:rsid w:val="00E9065C"/>
    <w:rsid w:val="00E90726"/>
    <w:rsid w:val="00E90D26"/>
    <w:rsid w:val="00E90D8E"/>
    <w:rsid w:val="00E91202"/>
    <w:rsid w:val="00E9182C"/>
    <w:rsid w:val="00E91A2A"/>
    <w:rsid w:val="00E94176"/>
    <w:rsid w:val="00E95295"/>
    <w:rsid w:val="00E969E0"/>
    <w:rsid w:val="00E974DA"/>
    <w:rsid w:val="00EA0C43"/>
    <w:rsid w:val="00EA1149"/>
    <w:rsid w:val="00EA1736"/>
    <w:rsid w:val="00EA1C2E"/>
    <w:rsid w:val="00EA267B"/>
    <w:rsid w:val="00EA3946"/>
    <w:rsid w:val="00EA3D89"/>
    <w:rsid w:val="00EA3E05"/>
    <w:rsid w:val="00EA4E43"/>
    <w:rsid w:val="00EA5A26"/>
    <w:rsid w:val="00EA5BCE"/>
    <w:rsid w:val="00EA693C"/>
    <w:rsid w:val="00EA6CC4"/>
    <w:rsid w:val="00EA7E1A"/>
    <w:rsid w:val="00EB034F"/>
    <w:rsid w:val="00EB17D0"/>
    <w:rsid w:val="00EB2340"/>
    <w:rsid w:val="00EB2F38"/>
    <w:rsid w:val="00EB45D2"/>
    <w:rsid w:val="00EB50EF"/>
    <w:rsid w:val="00EB53CC"/>
    <w:rsid w:val="00EB5D25"/>
    <w:rsid w:val="00EB638E"/>
    <w:rsid w:val="00EB7B50"/>
    <w:rsid w:val="00EC0806"/>
    <w:rsid w:val="00EC125B"/>
    <w:rsid w:val="00EC185D"/>
    <w:rsid w:val="00EC1F92"/>
    <w:rsid w:val="00EC28BC"/>
    <w:rsid w:val="00EC2F84"/>
    <w:rsid w:val="00EC5803"/>
    <w:rsid w:val="00EC5B05"/>
    <w:rsid w:val="00EC5B1F"/>
    <w:rsid w:val="00EC6BFD"/>
    <w:rsid w:val="00EC6DF3"/>
    <w:rsid w:val="00ED0286"/>
    <w:rsid w:val="00ED0612"/>
    <w:rsid w:val="00ED205D"/>
    <w:rsid w:val="00ED2DEE"/>
    <w:rsid w:val="00ED3717"/>
    <w:rsid w:val="00ED40DA"/>
    <w:rsid w:val="00ED58FD"/>
    <w:rsid w:val="00ED5FAB"/>
    <w:rsid w:val="00ED6380"/>
    <w:rsid w:val="00ED64CB"/>
    <w:rsid w:val="00ED6608"/>
    <w:rsid w:val="00ED7D7A"/>
    <w:rsid w:val="00ED7F5C"/>
    <w:rsid w:val="00EE0505"/>
    <w:rsid w:val="00EE0723"/>
    <w:rsid w:val="00EE1CBD"/>
    <w:rsid w:val="00EE2B9D"/>
    <w:rsid w:val="00EE403E"/>
    <w:rsid w:val="00EE5838"/>
    <w:rsid w:val="00EE5C17"/>
    <w:rsid w:val="00EE70F2"/>
    <w:rsid w:val="00EE764B"/>
    <w:rsid w:val="00EF0432"/>
    <w:rsid w:val="00EF35F1"/>
    <w:rsid w:val="00EF3636"/>
    <w:rsid w:val="00EF44E5"/>
    <w:rsid w:val="00EF585F"/>
    <w:rsid w:val="00EF5CBE"/>
    <w:rsid w:val="00EF64D9"/>
    <w:rsid w:val="00EF6B05"/>
    <w:rsid w:val="00EF6C07"/>
    <w:rsid w:val="00EF6FC1"/>
    <w:rsid w:val="00EF7104"/>
    <w:rsid w:val="00EF7DBA"/>
    <w:rsid w:val="00F0038C"/>
    <w:rsid w:val="00F0039B"/>
    <w:rsid w:val="00F006BD"/>
    <w:rsid w:val="00F0078C"/>
    <w:rsid w:val="00F009EA"/>
    <w:rsid w:val="00F028A6"/>
    <w:rsid w:val="00F03829"/>
    <w:rsid w:val="00F038A8"/>
    <w:rsid w:val="00F0394D"/>
    <w:rsid w:val="00F04DA5"/>
    <w:rsid w:val="00F1093B"/>
    <w:rsid w:val="00F10B7C"/>
    <w:rsid w:val="00F114E9"/>
    <w:rsid w:val="00F15631"/>
    <w:rsid w:val="00F17DE5"/>
    <w:rsid w:val="00F17F17"/>
    <w:rsid w:val="00F20B1B"/>
    <w:rsid w:val="00F2155A"/>
    <w:rsid w:val="00F2234D"/>
    <w:rsid w:val="00F2293B"/>
    <w:rsid w:val="00F23928"/>
    <w:rsid w:val="00F23A3F"/>
    <w:rsid w:val="00F246B6"/>
    <w:rsid w:val="00F24C05"/>
    <w:rsid w:val="00F25170"/>
    <w:rsid w:val="00F25F33"/>
    <w:rsid w:val="00F2788A"/>
    <w:rsid w:val="00F2794A"/>
    <w:rsid w:val="00F27B6E"/>
    <w:rsid w:val="00F30314"/>
    <w:rsid w:val="00F3162C"/>
    <w:rsid w:val="00F326F2"/>
    <w:rsid w:val="00F33528"/>
    <w:rsid w:val="00F346AA"/>
    <w:rsid w:val="00F34A31"/>
    <w:rsid w:val="00F36775"/>
    <w:rsid w:val="00F37401"/>
    <w:rsid w:val="00F3747B"/>
    <w:rsid w:val="00F4030D"/>
    <w:rsid w:val="00F404A5"/>
    <w:rsid w:val="00F41B63"/>
    <w:rsid w:val="00F42C1B"/>
    <w:rsid w:val="00F44287"/>
    <w:rsid w:val="00F46128"/>
    <w:rsid w:val="00F46B84"/>
    <w:rsid w:val="00F502A8"/>
    <w:rsid w:val="00F503E7"/>
    <w:rsid w:val="00F53333"/>
    <w:rsid w:val="00F536D1"/>
    <w:rsid w:val="00F536DE"/>
    <w:rsid w:val="00F54BD8"/>
    <w:rsid w:val="00F54C90"/>
    <w:rsid w:val="00F56467"/>
    <w:rsid w:val="00F56B5F"/>
    <w:rsid w:val="00F57EDB"/>
    <w:rsid w:val="00F60C98"/>
    <w:rsid w:val="00F61045"/>
    <w:rsid w:val="00F63516"/>
    <w:rsid w:val="00F6352C"/>
    <w:rsid w:val="00F63E6A"/>
    <w:rsid w:val="00F641DD"/>
    <w:rsid w:val="00F6540E"/>
    <w:rsid w:val="00F66203"/>
    <w:rsid w:val="00F729E3"/>
    <w:rsid w:val="00F729F2"/>
    <w:rsid w:val="00F72C21"/>
    <w:rsid w:val="00F73D42"/>
    <w:rsid w:val="00F74498"/>
    <w:rsid w:val="00F7475D"/>
    <w:rsid w:val="00F749B3"/>
    <w:rsid w:val="00F74E0B"/>
    <w:rsid w:val="00F75CE8"/>
    <w:rsid w:val="00F761D8"/>
    <w:rsid w:val="00F76507"/>
    <w:rsid w:val="00F771CC"/>
    <w:rsid w:val="00F81973"/>
    <w:rsid w:val="00F81A3C"/>
    <w:rsid w:val="00F82601"/>
    <w:rsid w:val="00F82730"/>
    <w:rsid w:val="00F8326F"/>
    <w:rsid w:val="00F83417"/>
    <w:rsid w:val="00F84566"/>
    <w:rsid w:val="00F84B5D"/>
    <w:rsid w:val="00F85049"/>
    <w:rsid w:val="00F859DF"/>
    <w:rsid w:val="00F91A7A"/>
    <w:rsid w:val="00F9380D"/>
    <w:rsid w:val="00F93FF6"/>
    <w:rsid w:val="00F9461E"/>
    <w:rsid w:val="00F94D9E"/>
    <w:rsid w:val="00F94FAC"/>
    <w:rsid w:val="00F9514F"/>
    <w:rsid w:val="00F9562E"/>
    <w:rsid w:val="00F95A9A"/>
    <w:rsid w:val="00F96367"/>
    <w:rsid w:val="00F973AD"/>
    <w:rsid w:val="00F973E8"/>
    <w:rsid w:val="00F97D15"/>
    <w:rsid w:val="00FA109F"/>
    <w:rsid w:val="00FA1D90"/>
    <w:rsid w:val="00FA1E08"/>
    <w:rsid w:val="00FA3309"/>
    <w:rsid w:val="00FA3497"/>
    <w:rsid w:val="00FA38F1"/>
    <w:rsid w:val="00FA3B23"/>
    <w:rsid w:val="00FA46FA"/>
    <w:rsid w:val="00FA4921"/>
    <w:rsid w:val="00FA4E87"/>
    <w:rsid w:val="00FA539C"/>
    <w:rsid w:val="00FB0B34"/>
    <w:rsid w:val="00FB58D2"/>
    <w:rsid w:val="00FB710A"/>
    <w:rsid w:val="00FB7B47"/>
    <w:rsid w:val="00FB7F8E"/>
    <w:rsid w:val="00FC01AA"/>
    <w:rsid w:val="00FC03A0"/>
    <w:rsid w:val="00FC0E88"/>
    <w:rsid w:val="00FC1A4A"/>
    <w:rsid w:val="00FC1B25"/>
    <w:rsid w:val="00FC22D4"/>
    <w:rsid w:val="00FC3896"/>
    <w:rsid w:val="00FC3E64"/>
    <w:rsid w:val="00FC4386"/>
    <w:rsid w:val="00FC65F8"/>
    <w:rsid w:val="00FC6F07"/>
    <w:rsid w:val="00FC7A49"/>
    <w:rsid w:val="00FD331B"/>
    <w:rsid w:val="00FD337A"/>
    <w:rsid w:val="00FD4749"/>
    <w:rsid w:val="00FD47D4"/>
    <w:rsid w:val="00FD4D2C"/>
    <w:rsid w:val="00FD6CAC"/>
    <w:rsid w:val="00FD723A"/>
    <w:rsid w:val="00FD7AD3"/>
    <w:rsid w:val="00FD7B57"/>
    <w:rsid w:val="00FE0143"/>
    <w:rsid w:val="00FE1A0B"/>
    <w:rsid w:val="00FE1D60"/>
    <w:rsid w:val="00FE2C86"/>
    <w:rsid w:val="00FE32E2"/>
    <w:rsid w:val="00FE36BB"/>
    <w:rsid w:val="00FE3F90"/>
    <w:rsid w:val="00FE414D"/>
    <w:rsid w:val="00FE46AD"/>
    <w:rsid w:val="00FE4E84"/>
    <w:rsid w:val="00FE547F"/>
    <w:rsid w:val="00FE689C"/>
    <w:rsid w:val="00FE714B"/>
    <w:rsid w:val="00FE7B9B"/>
    <w:rsid w:val="00FF01B4"/>
    <w:rsid w:val="00FF0E92"/>
    <w:rsid w:val="00FF1229"/>
    <w:rsid w:val="00FF2241"/>
    <w:rsid w:val="00FF2DA5"/>
    <w:rsid w:val="00FF43DD"/>
    <w:rsid w:val="00FF52C6"/>
    <w:rsid w:val="00FF77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3E2"/>
    <w:pPr>
      <w:spacing w:after="120" w:line="240" w:lineRule="auto"/>
      <w:jc w:val="both"/>
    </w:pPr>
    <w:rPr>
      <w:rFonts w:ascii="Times New Roman" w:eastAsia="Calibri" w:hAnsi="Times New Roman" w:cs="Times New Roman"/>
      <w:sz w:val="18"/>
    </w:rPr>
  </w:style>
  <w:style w:type="paragraph" w:styleId="Heading1">
    <w:name w:val="heading 1"/>
    <w:basedOn w:val="Normal"/>
    <w:next w:val="Normal"/>
    <w:link w:val="Heading1Char"/>
    <w:uiPriority w:val="9"/>
    <w:qFormat/>
    <w:rsid w:val="000B73E2"/>
    <w:pPr>
      <w:keepNext/>
      <w:keepLines/>
      <w:spacing w:before="480"/>
      <w:jc w:val="center"/>
      <w:outlineLvl w:val="0"/>
    </w:pPr>
    <w:rPr>
      <w:rFonts w:eastAsiaTheme="majorEastAsia" w:cstheme="majorBidi"/>
      <w:b/>
      <w:bCs/>
      <w:sz w:val="32"/>
      <w:szCs w:val="28"/>
    </w:rPr>
  </w:style>
  <w:style w:type="paragraph" w:styleId="Heading2">
    <w:name w:val="heading 2"/>
    <w:basedOn w:val="Normal"/>
    <w:next w:val="Normal"/>
    <w:link w:val="Heading2Char"/>
    <w:uiPriority w:val="9"/>
    <w:unhideWhenUsed/>
    <w:qFormat/>
    <w:rsid w:val="000B73E2"/>
    <w:pPr>
      <w:keepNext/>
      <w:keepLines/>
      <w:numPr>
        <w:numId w:val="4"/>
      </w:numPr>
      <w:spacing w:before="120" w:after="0"/>
      <w:ind w:left="0" w:firstLine="0"/>
      <w:contextualSpacing/>
      <w:outlineLvl w:val="1"/>
    </w:pPr>
    <w:rPr>
      <w:rFonts w:eastAsiaTheme="majorEastAsia" w:cstheme="majorBidi"/>
      <w:b/>
      <w:bCs/>
      <w:sz w:val="22"/>
      <w:szCs w:val="26"/>
    </w:rPr>
  </w:style>
  <w:style w:type="paragraph" w:styleId="Heading3">
    <w:name w:val="heading 3"/>
    <w:basedOn w:val="Normal"/>
    <w:next w:val="Normal"/>
    <w:link w:val="Heading3Char"/>
    <w:uiPriority w:val="9"/>
    <w:unhideWhenUsed/>
    <w:qFormat/>
    <w:rsid w:val="000B48A4"/>
    <w:pPr>
      <w:keepNext/>
      <w:keepLines/>
      <w:spacing w:before="200" w:line="36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next w:val="Normal"/>
    <w:link w:val="Heading4Char"/>
    <w:uiPriority w:val="9"/>
    <w:unhideWhenUsed/>
    <w:qFormat/>
    <w:rsid w:val="000B48A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73E2"/>
    <w:rPr>
      <w:rFonts w:ascii="Times New Roman" w:eastAsiaTheme="majorEastAsia" w:hAnsi="Times New Roman" w:cstheme="majorBidi"/>
      <w:b/>
      <w:bCs/>
      <w:szCs w:val="26"/>
    </w:rPr>
  </w:style>
  <w:style w:type="paragraph" w:customStyle="1" w:styleId="PythonCode">
    <w:name w:val="Python Code"/>
    <w:basedOn w:val="Normal"/>
    <w:link w:val="PythonCodeChar"/>
    <w:autoRedefine/>
    <w:qFormat/>
    <w:rsid w:val="000921D3"/>
    <w:pPr>
      <w:spacing w:after="0"/>
    </w:pPr>
    <w:rPr>
      <w:rFonts w:asciiTheme="minorHAnsi" w:hAnsiTheme="minorHAnsi"/>
      <w:color w:val="943634" w:themeColor="accent2" w:themeShade="BF"/>
    </w:rPr>
  </w:style>
  <w:style w:type="character" w:customStyle="1" w:styleId="PythonCodeChar">
    <w:name w:val="Python Code Char"/>
    <w:basedOn w:val="DefaultParagraphFont"/>
    <w:link w:val="PythonCode"/>
    <w:rsid w:val="000921D3"/>
    <w:rPr>
      <w:rFonts w:eastAsiaTheme="minorEastAsia"/>
      <w:color w:val="943634" w:themeColor="accent2" w:themeShade="BF"/>
      <w:sz w:val="24"/>
      <w:szCs w:val="24"/>
    </w:rPr>
  </w:style>
  <w:style w:type="character" w:customStyle="1" w:styleId="Heading3Char">
    <w:name w:val="Heading 3 Char"/>
    <w:basedOn w:val="DefaultParagraphFont"/>
    <w:link w:val="Heading3"/>
    <w:uiPriority w:val="9"/>
    <w:rsid w:val="000B48A4"/>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0B48A4"/>
    <w:rPr>
      <w:rFonts w:asciiTheme="majorHAnsi" w:eastAsiaTheme="majorEastAsia" w:hAnsiTheme="majorHAnsi" w:cstheme="majorBidi"/>
      <w:b/>
      <w:bCs/>
      <w:i/>
      <w:iCs/>
      <w:color w:val="4F81BD" w:themeColor="accent1"/>
      <w:sz w:val="24"/>
    </w:rPr>
  </w:style>
  <w:style w:type="paragraph" w:styleId="Caption">
    <w:name w:val="caption"/>
    <w:basedOn w:val="Normal"/>
    <w:next w:val="Normal"/>
    <w:unhideWhenUsed/>
    <w:qFormat/>
    <w:rsid w:val="000B48A4"/>
    <w:rPr>
      <w:b/>
      <w:bCs/>
      <w:szCs w:val="18"/>
    </w:rPr>
  </w:style>
  <w:style w:type="paragraph" w:styleId="ListParagraph">
    <w:name w:val="List Paragraph"/>
    <w:basedOn w:val="Normal"/>
    <w:link w:val="ListParagraphChar"/>
    <w:uiPriority w:val="34"/>
    <w:qFormat/>
    <w:rsid w:val="000B48A4"/>
    <w:pPr>
      <w:ind w:left="720"/>
      <w:contextualSpacing/>
    </w:pPr>
  </w:style>
  <w:style w:type="paragraph" w:customStyle="1" w:styleId="Els-table-text">
    <w:name w:val="Els-table-text"/>
    <w:rsid w:val="000B48A4"/>
    <w:pPr>
      <w:keepNext/>
      <w:spacing w:after="80" w:line="200" w:lineRule="exact"/>
    </w:pPr>
    <w:rPr>
      <w:rFonts w:ascii="Times New Roman" w:eastAsia="Times New Roman" w:hAnsi="Times New Roman" w:cs="Times New Roman"/>
      <w:sz w:val="16"/>
      <w:szCs w:val="20"/>
    </w:rPr>
  </w:style>
  <w:style w:type="character" w:customStyle="1" w:styleId="ListParagraphChar">
    <w:name w:val="List Paragraph Char"/>
    <w:basedOn w:val="DefaultParagraphFont"/>
    <w:link w:val="ListParagraph"/>
    <w:uiPriority w:val="34"/>
    <w:rsid w:val="000B48A4"/>
    <w:rPr>
      <w:rFonts w:ascii="Times New Roman" w:eastAsia="Calibri" w:hAnsi="Times New Roman" w:cs="Times New Roman"/>
      <w:sz w:val="24"/>
    </w:rPr>
  </w:style>
  <w:style w:type="paragraph" w:customStyle="1" w:styleId="MTDisplayEquation">
    <w:name w:val="MTDisplayEquation"/>
    <w:basedOn w:val="Normal"/>
    <w:next w:val="Normal"/>
    <w:link w:val="MTDisplayEquationChar"/>
    <w:rsid w:val="000B48A4"/>
    <w:pPr>
      <w:tabs>
        <w:tab w:val="center" w:pos="4320"/>
        <w:tab w:val="right" w:pos="8640"/>
      </w:tabs>
    </w:pPr>
  </w:style>
  <w:style w:type="character" w:customStyle="1" w:styleId="MTDisplayEquationChar">
    <w:name w:val="MTDisplayEquation Char"/>
    <w:basedOn w:val="DefaultParagraphFont"/>
    <w:link w:val="MTDisplayEquation"/>
    <w:rsid w:val="000B48A4"/>
    <w:rPr>
      <w:rFonts w:ascii="Times New Roman" w:eastAsia="Calibri" w:hAnsi="Times New Roman" w:cs="Times New Roman"/>
      <w:sz w:val="24"/>
    </w:rPr>
  </w:style>
  <w:style w:type="paragraph" w:styleId="DocumentMap">
    <w:name w:val="Document Map"/>
    <w:basedOn w:val="Normal"/>
    <w:link w:val="DocumentMapChar"/>
    <w:uiPriority w:val="99"/>
    <w:semiHidden/>
    <w:unhideWhenUsed/>
    <w:rsid w:val="000B48A4"/>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0B48A4"/>
    <w:rPr>
      <w:rFonts w:ascii="Tahoma" w:eastAsia="Calibri" w:hAnsi="Tahoma" w:cs="Tahoma"/>
      <w:sz w:val="16"/>
      <w:szCs w:val="16"/>
    </w:rPr>
  </w:style>
  <w:style w:type="paragraph" w:styleId="BalloonText">
    <w:name w:val="Balloon Text"/>
    <w:basedOn w:val="Normal"/>
    <w:link w:val="BalloonTextChar"/>
    <w:uiPriority w:val="99"/>
    <w:semiHidden/>
    <w:unhideWhenUsed/>
    <w:rsid w:val="000B48A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48A4"/>
    <w:rPr>
      <w:rFonts w:ascii="Tahoma" w:eastAsia="Calibri" w:hAnsi="Tahoma" w:cs="Tahoma"/>
      <w:sz w:val="16"/>
      <w:szCs w:val="16"/>
    </w:rPr>
  </w:style>
  <w:style w:type="paragraph" w:styleId="Bibliography">
    <w:name w:val="Bibliography"/>
    <w:basedOn w:val="Normal"/>
    <w:next w:val="Normal"/>
    <w:uiPriority w:val="37"/>
    <w:unhideWhenUsed/>
    <w:rsid w:val="00093C93"/>
    <w:pPr>
      <w:tabs>
        <w:tab w:val="left" w:pos="504"/>
      </w:tabs>
      <w:spacing w:after="0"/>
      <w:ind w:left="504" w:hanging="504"/>
    </w:pPr>
  </w:style>
  <w:style w:type="character" w:customStyle="1" w:styleId="Heading1Char">
    <w:name w:val="Heading 1 Char"/>
    <w:basedOn w:val="DefaultParagraphFont"/>
    <w:link w:val="Heading1"/>
    <w:uiPriority w:val="9"/>
    <w:rsid w:val="000B73E2"/>
    <w:rPr>
      <w:rFonts w:ascii="Times New Roman" w:eastAsiaTheme="majorEastAsia" w:hAnsi="Times New Roman" w:cstheme="majorBidi"/>
      <w:b/>
      <w:bCs/>
      <w:sz w:val="32"/>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581</TotalTime>
  <Pages>7</Pages>
  <Words>10038</Words>
  <Characters>57219</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dc:creator>
  <cp:keywords/>
  <dc:description/>
  <cp:lastModifiedBy>Ken C</cp:lastModifiedBy>
  <cp:revision>3</cp:revision>
  <dcterms:created xsi:type="dcterms:W3CDTF">2013-11-01T18:08:00Z</dcterms:created>
  <dcterms:modified xsi:type="dcterms:W3CDTF">2014-01-28T11:43:00Z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zotero-version="4.0.12"&gt;&lt;session id="hV4Jgd5C"/&gt;&lt;style id="http://www.zotero.org/styles/ieee" hasBibliography="1" bibliographyStyleHasBeenSet="1"/&gt;&lt;prefs&gt;&lt;pref name="fieldType" value="Field"/&gt;&lt;pref name="storeReferences" value="true</vt:lpwstr>
  </property>
  <property fmtid="{D5CDD505-2E9C-101B-9397-08002B2CF9AE}" pid="3" name="ZOTERO_PREF_2">
    <vt:lpwstr>"/&gt;&lt;pref name="automaticJournalAbbreviations" value="true"/&gt;&lt;pref name="noteType" value="0"/&gt;&lt;/prefs&gt;&lt;/data&gt;</vt:lpwstr>
  </property>
</Properties>
</file>